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F5" w:rsidRPr="00035579" w:rsidRDefault="002F5BF5" w:rsidP="00035579">
      <w:pPr>
        <w:jc w:val="center"/>
        <w:rPr>
          <w:rFonts w:ascii="Calibri" w:hAnsi="Calibri" w:cs="Times New Roman"/>
          <w:sz w:val="22"/>
          <w:szCs w:val="22"/>
        </w:rPr>
      </w:pPr>
      <w:bookmarkStart w:id="0" w:name="_GoBack"/>
      <w:bookmarkEnd w:id="0"/>
      <w:r w:rsidRPr="002F5BF5">
        <w:rPr>
          <w:rFonts w:ascii="Calibri" w:hAnsi="Calibri" w:cs="Times New Roman"/>
          <w:b/>
          <w:sz w:val="28"/>
          <w:szCs w:val="28"/>
        </w:rPr>
        <w:t>National Rural Health Association</w:t>
      </w:r>
    </w:p>
    <w:p w:rsidR="002752D4" w:rsidRPr="002F5BF5" w:rsidRDefault="002752D4" w:rsidP="002F5BF5">
      <w:pPr>
        <w:jc w:val="center"/>
        <w:rPr>
          <w:rFonts w:ascii="Calibri" w:hAnsi="Calibri" w:cs="Times New Roman"/>
          <w:b/>
          <w:sz w:val="28"/>
          <w:szCs w:val="28"/>
        </w:rPr>
      </w:pPr>
      <w:r w:rsidRPr="002F5BF5">
        <w:rPr>
          <w:rFonts w:ascii="Calibri" w:hAnsi="Calibri" w:cs="Times New Roman"/>
          <w:b/>
          <w:sz w:val="28"/>
          <w:szCs w:val="28"/>
        </w:rPr>
        <w:t>Top 20 Awar</w:t>
      </w:r>
      <w:r w:rsidR="00ED0720">
        <w:rPr>
          <w:rFonts w:ascii="Calibri" w:hAnsi="Calibri" w:cs="Times New Roman"/>
          <w:b/>
          <w:sz w:val="28"/>
          <w:szCs w:val="28"/>
        </w:rPr>
        <w:t>d Winners and Best Practice Hospitals</w:t>
      </w:r>
    </w:p>
    <w:p w:rsidR="002752D4" w:rsidRDefault="002752D4" w:rsidP="00D1424C">
      <w:pPr>
        <w:rPr>
          <w:rFonts w:ascii="Calibri" w:hAnsi="Calibri" w:cs="Times New Roman"/>
          <w:sz w:val="22"/>
          <w:szCs w:val="22"/>
        </w:rPr>
      </w:pPr>
    </w:p>
    <w:p w:rsidR="00691F92" w:rsidRDefault="00A81B79" w:rsidP="009C7D96">
      <w:pPr>
        <w:rPr>
          <w:rFonts w:ascii="Calibri" w:hAnsi="Calibri" w:cs="Times New Roman"/>
          <w:sz w:val="22"/>
          <w:szCs w:val="22"/>
        </w:rPr>
      </w:pPr>
      <w:r>
        <w:rPr>
          <w:rFonts w:ascii="Calibri" w:hAnsi="Calibri" w:cs="Times New Roman"/>
          <w:sz w:val="22"/>
          <w:szCs w:val="22"/>
        </w:rPr>
        <w:t>The National Rural Health Association</w:t>
      </w:r>
      <w:r w:rsidR="00D1424C">
        <w:rPr>
          <w:rFonts w:ascii="Calibri" w:hAnsi="Calibri" w:cs="Times New Roman"/>
          <w:sz w:val="22"/>
          <w:szCs w:val="22"/>
        </w:rPr>
        <w:t xml:space="preserve"> names the Top 20 Critical Access Hospitals based on a larger document, the Top 100 CAHs</w:t>
      </w:r>
      <w:r w:rsidR="002F5BF5">
        <w:rPr>
          <w:rFonts w:ascii="Calibri" w:hAnsi="Calibri" w:cs="Times New Roman"/>
          <w:sz w:val="22"/>
          <w:szCs w:val="22"/>
        </w:rPr>
        <w:t>,</w:t>
      </w:r>
      <w:r w:rsidR="00D1424C">
        <w:rPr>
          <w:rFonts w:ascii="Calibri" w:hAnsi="Calibri" w:cs="Times New Roman"/>
          <w:sz w:val="22"/>
          <w:szCs w:val="22"/>
        </w:rPr>
        <w:t xml:space="preserve"> generated b</w:t>
      </w:r>
      <w:r w:rsidR="002752D4">
        <w:rPr>
          <w:rFonts w:ascii="Calibri" w:hAnsi="Calibri" w:cs="Times New Roman"/>
          <w:sz w:val="22"/>
          <w:szCs w:val="22"/>
        </w:rPr>
        <w:t>y iVantage Health Analytics. Th</w:t>
      </w:r>
      <w:r w:rsidR="00D1424C">
        <w:rPr>
          <w:rFonts w:ascii="Calibri" w:hAnsi="Calibri" w:cs="Times New Roman"/>
          <w:sz w:val="22"/>
          <w:szCs w:val="22"/>
        </w:rPr>
        <w:t xml:space="preserve">is source document sheds new, multi-dimensional light on the characteristics of the Top 100 performing critical access hospitals based on the Hospital Strength </w:t>
      </w:r>
      <w:r w:rsidR="005A24FB">
        <w:rPr>
          <w:rFonts w:ascii="Calibri" w:hAnsi="Calibri" w:cs="Times New Roman"/>
          <w:sz w:val="22"/>
          <w:szCs w:val="22"/>
        </w:rPr>
        <w:t>INDEX</w:t>
      </w:r>
      <w:r w:rsidR="00D1424C">
        <w:rPr>
          <w:rFonts w:ascii="Calibri" w:hAnsi="Calibri" w:cs="Times New Roman"/>
          <w:sz w:val="22"/>
          <w:szCs w:val="22"/>
        </w:rPr>
        <w:t>, the first nationwide hospital rating system to evaluate U</w:t>
      </w:r>
      <w:r w:rsidR="006B21CF">
        <w:rPr>
          <w:rFonts w:ascii="Calibri" w:hAnsi="Calibri" w:cs="Times New Roman"/>
          <w:sz w:val="22"/>
          <w:szCs w:val="22"/>
        </w:rPr>
        <w:t>.</w:t>
      </w:r>
      <w:r w:rsidR="00D1424C">
        <w:rPr>
          <w:rFonts w:ascii="Calibri" w:hAnsi="Calibri" w:cs="Times New Roman"/>
          <w:sz w:val="22"/>
          <w:szCs w:val="22"/>
        </w:rPr>
        <w:t>S</w:t>
      </w:r>
      <w:r w:rsidR="006B21CF">
        <w:rPr>
          <w:rFonts w:ascii="Calibri" w:hAnsi="Calibri" w:cs="Times New Roman"/>
          <w:sz w:val="22"/>
          <w:szCs w:val="22"/>
        </w:rPr>
        <w:t>.</w:t>
      </w:r>
      <w:r w:rsidR="00D1424C">
        <w:rPr>
          <w:rFonts w:ascii="Calibri" w:hAnsi="Calibri" w:cs="Times New Roman"/>
          <w:sz w:val="22"/>
          <w:szCs w:val="22"/>
        </w:rPr>
        <w:t xml:space="preserve"> general acute care hospitals from market, value-based and financial perspectives.</w:t>
      </w:r>
      <w:r w:rsidR="00691F92">
        <w:rPr>
          <w:rFonts w:ascii="Calibri" w:hAnsi="Calibri" w:cs="Times New Roman"/>
          <w:sz w:val="22"/>
          <w:szCs w:val="22"/>
        </w:rPr>
        <w:t xml:space="preserve"> </w:t>
      </w:r>
    </w:p>
    <w:p w:rsidR="00691F92" w:rsidRPr="00691F92" w:rsidRDefault="00691F92" w:rsidP="00691F92">
      <w:pPr>
        <w:jc w:val="center"/>
        <w:rPr>
          <w:rFonts w:ascii="Calibri" w:hAnsi="Calibri" w:cs="Times New Roman"/>
          <w:b/>
          <w:sz w:val="22"/>
          <w:szCs w:val="22"/>
        </w:rPr>
      </w:pPr>
      <w:r w:rsidRPr="00691F92">
        <w:rPr>
          <w:rFonts w:ascii="Calibri" w:hAnsi="Calibri" w:cs="Times New Roman"/>
          <w:b/>
          <w:sz w:val="22"/>
          <w:szCs w:val="22"/>
        </w:rPr>
        <w:t>NRHA’</w:t>
      </w:r>
      <w:r w:rsidR="006A44A9">
        <w:rPr>
          <w:rFonts w:ascii="Calibri" w:hAnsi="Calibri" w:cs="Times New Roman"/>
          <w:b/>
          <w:sz w:val="22"/>
          <w:szCs w:val="22"/>
        </w:rPr>
        <w:t>s Top 20 W</w:t>
      </w:r>
      <w:r w:rsidRPr="00691F92">
        <w:rPr>
          <w:rFonts w:ascii="Calibri" w:hAnsi="Calibri" w:cs="Times New Roman"/>
          <w:b/>
          <w:sz w:val="22"/>
          <w:szCs w:val="22"/>
        </w:rPr>
        <w:t>inners are the highest ranked (top 20)</w:t>
      </w:r>
    </w:p>
    <w:p w:rsidR="00691F92" w:rsidRPr="00691F92" w:rsidRDefault="00691F92" w:rsidP="00691F92">
      <w:pPr>
        <w:jc w:val="center"/>
        <w:rPr>
          <w:rFonts w:ascii="Calibri" w:hAnsi="Calibri" w:cs="Times New Roman"/>
          <w:b/>
          <w:sz w:val="22"/>
          <w:szCs w:val="22"/>
        </w:rPr>
      </w:pPr>
      <w:r w:rsidRPr="00691F92">
        <w:rPr>
          <w:rFonts w:ascii="Calibri" w:hAnsi="Calibri" w:cs="Times New Roman"/>
          <w:b/>
          <w:sz w:val="22"/>
          <w:szCs w:val="22"/>
        </w:rPr>
        <w:t>among the Top 100</w:t>
      </w:r>
      <w:r w:rsidR="00FA33EF">
        <w:rPr>
          <w:rFonts w:ascii="Calibri" w:hAnsi="Calibri" w:cs="Times New Roman"/>
          <w:b/>
          <w:sz w:val="22"/>
          <w:szCs w:val="22"/>
        </w:rPr>
        <w:t xml:space="preserve"> CAHs</w:t>
      </w:r>
      <w:r w:rsidRPr="00691F92">
        <w:rPr>
          <w:rFonts w:ascii="Calibri" w:hAnsi="Calibri" w:cs="Times New Roman"/>
          <w:b/>
          <w:sz w:val="22"/>
          <w:szCs w:val="22"/>
        </w:rPr>
        <w:t>, named by iVantage Health Analytics.</w:t>
      </w:r>
    </w:p>
    <w:p w:rsidR="00691F92" w:rsidRDefault="00691F92" w:rsidP="009C7D96">
      <w:pPr>
        <w:rPr>
          <w:rFonts w:ascii="Calibri" w:hAnsi="Calibri" w:cs="Times New Roman"/>
          <w:sz w:val="22"/>
          <w:szCs w:val="22"/>
        </w:rPr>
      </w:pPr>
    </w:p>
    <w:p w:rsidR="006E33F0" w:rsidRDefault="006E33F0" w:rsidP="006E33F0">
      <w:pPr>
        <w:rPr>
          <w:rFonts w:ascii="Calibri" w:eastAsia="Calibri" w:hAnsi="Calibri" w:cs="Times New Roman"/>
          <w:sz w:val="22"/>
          <w:szCs w:val="22"/>
        </w:rPr>
      </w:pPr>
      <w:r>
        <w:rPr>
          <w:rFonts w:ascii="Calibri" w:eastAsia="Calibri" w:hAnsi="Calibri" w:cs="Times New Roman"/>
          <w:sz w:val="22"/>
          <w:szCs w:val="22"/>
        </w:rPr>
        <w:t xml:space="preserve">The Hospital Strength </w:t>
      </w:r>
      <w:r w:rsidR="005A24FB">
        <w:rPr>
          <w:rFonts w:ascii="Calibri" w:eastAsia="Calibri" w:hAnsi="Calibri" w:cs="Times New Roman"/>
          <w:sz w:val="22"/>
          <w:szCs w:val="22"/>
        </w:rPr>
        <w:t>INDEX</w:t>
      </w:r>
      <w:r w:rsidRPr="003C35CE">
        <w:rPr>
          <w:rFonts w:ascii="Calibri" w:hAnsi="Calibri" w:cs="Times New Roman"/>
          <w:sz w:val="22"/>
          <w:szCs w:val="22"/>
        </w:rPr>
        <w:t>™</w:t>
      </w:r>
      <w:r>
        <w:rPr>
          <w:rFonts w:ascii="Calibri" w:eastAsia="Calibri" w:hAnsi="Calibri" w:cs="Times New Roman"/>
          <w:sz w:val="22"/>
          <w:szCs w:val="22"/>
        </w:rPr>
        <w:t xml:space="preserve"> utilizes publicly available data sets to quantify overa</w:t>
      </w:r>
      <w:r w:rsidR="004B631B">
        <w:rPr>
          <w:rFonts w:ascii="Calibri" w:eastAsia="Calibri" w:hAnsi="Calibri" w:cs="Times New Roman"/>
          <w:sz w:val="22"/>
          <w:szCs w:val="22"/>
        </w:rPr>
        <w:t>ll hospital performance in ten</w:t>
      </w:r>
      <w:r>
        <w:rPr>
          <w:rFonts w:ascii="Calibri" w:eastAsia="Calibri" w:hAnsi="Calibri" w:cs="Times New Roman"/>
          <w:sz w:val="22"/>
          <w:szCs w:val="22"/>
        </w:rPr>
        <w:t xml:space="preserve"> pillars:</w:t>
      </w:r>
    </w:p>
    <w:p w:rsidR="006E33F0" w:rsidRDefault="006E33F0" w:rsidP="006E33F0">
      <w:pPr>
        <w:rPr>
          <w:rFonts w:ascii="Calibri" w:hAnsi="Calibri" w:cs="Times New Roman"/>
          <w:sz w:val="22"/>
          <w:szCs w:val="22"/>
        </w:rPr>
      </w:pPr>
      <w:r w:rsidRPr="007F10F9">
        <w:rPr>
          <w:rFonts w:ascii="Calibri" w:eastAsia="Calibri" w:hAnsi="Calibri" w:cs="Times New Roman"/>
          <w:sz w:val="22"/>
          <w:szCs w:val="22"/>
        </w:rPr>
        <w:t xml:space="preserve">1 - </w:t>
      </w:r>
      <w:r w:rsidR="00FA33EF">
        <w:rPr>
          <w:rFonts w:ascii="Calibri" w:hAnsi="Calibri" w:cs="Times New Roman"/>
          <w:sz w:val="22"/>
          <w:szCs w:val="22"/>
        </w:rPr>
        <w:t>Competitive Strength</w:t>
      </w:r>
      <w:r>
        <w:rPr>
          <w:rFonts w:ascii="Calibri" w:hAnsi="Calibri" w:cs="Times New Roman"/>
          <w:sz w:val="22"/>
          <w:szCs w:val="22"/>
        </w:rPr>
        <w:t xml:space="preserve">, </w:t>
      </w:r>
      <w:r w:rsidR="00FA33EF">
        <w:rPr>
          <w:rFonts w:ascii="Calibri" w:hAnsi="Calibri" w:cs="Times New Roman"/>
          <w:sz w:val="22"/>
          <w:szCs w:val="22"/>
        </w:rPr>
        <w:t>2 - Competitive Intensity</w:t>
      </w:r>
      <w:r>
        <w:rPr>
          <w:rFonts w:ascii="Calibri" w:hAnsi="Calibri" w:cs="Times New Roman"/>
          <w:sz w:val="22"/>
          <w:szCs w:val="22"/>
        </w:rPr>
        <w:t xml:space="preserve">, </w:t>
      </w:r>
      <w:r w:rsidR="00FA33EF">
        <w:rPr>
          <w:rFonts w:ascii="Calibri" w:hAnsi="Calibri" w:cs="Times New Roman"/>
          <w:sz w:val="22"/>
          <w:szCs w:val="22"/>
        </w:rPr>
        <w:t>3 - Market Size and Growth</w:t>
      </w:r>
      <w:r>
        <w:rPr>
          <w:rFonts w:ascii="Calibri" w:hAnsi="Calibri" w:cs="Times New Roman"/>
          <w:sz w:val="22"/>
          <w:szCs w:val="22"/>
        </w:rPr>
        <w:t xml:space="preserve">, </w:t>
      </w:r>
      <w:r w:rsidR="004B631B">
        <w:rPr>
          <w:rFonts w:ascii="Calibri" w:hAnsi="Calibri" w:cs="Times New Roman"/>
          <w:sz w:val="22"/>
          <w:szCs w:val="22"/>
        </w:rPr>
        <w:t xml:space="preserve">4 – Population </w:t>
      </w:r>
      <w:r w:rsidR="00FA33EF">
        <w:rPr>
          <w:rFonts w:ascii="Calibri" w:hAnsi="Calibri" w:cs="Times New Roman"/>
          <w:sz w:val="22"/>
          <w:szCs w:val="22"/>
        </w:rPr>
        <w:t>Risk</w:t>
      </w:r>
      <w:r w:rsidR="004B631B">
        <w:rPr>
          <w:rFonts w:ascii="Calibri" w:hAnsi="Calibri" w:cs="Times New Roman"/>
          <w:sz w:val="22"/>
          <w:szCs w:val="22"/>
        </w:rPr>
        <w:t>,  5 –</w:t>
      </w:r>
      <w:r w:rsidR="00FA33EF">
        <w:rPr>
          <w:rFonts w:ascii="Calibri" w:hAnsi="Calibri" w:cs="Times New Roman"/>
          <w:sz w:val="22"/>
          <w:szCs w:val="22"/>
        </w:rPr>
        <w:t xml:space="preserve"> Cost</w:t>
      </w:r>
      <w:r w:rsidR="004B631B">
        <w:rPr>
          <w:rFonts w:ascii="Calibri" w:hAnsi="Calibri" w:cs="Times New Roman"/>
          <w:sz w:val="22"/>
          <w:szCs w:val="22"/>
        </w:rPr>
        <w:t xml:space="preserve">, </w:t>
      </w:r>
      <w:r w:rsidR="00FA33EF">
        <w:rPr>
          <w:rFonts w:ascii="Calibri" w:hAnsi="Calibri" w:cs="Times New Roman"/>
          <w:sz w:val="22"/>
          <w:szCs w:val="22"/>
        </w:rPr>
        <w:br/>
      </w:r>
      <w:r w:rsidR="004B631B">
        <w:rPr>
          <w:rFonts w:ascii="Calibri" w:hAnsi="Calibri" w:cs="Times New Roman"/>
          <w:sz w:val="22"/>
          <w:szCs w:val="22"/>
        </w:rPr>
        <w:t>6 – Char</w:t>
      </w:r>
      <w:r w:rsidR="00FA33EF">
        <w:rPr>
          <w:rFonts w:ascii="Calibri" w:hAnsi="Calibri" w:cs="Times New Roman"/>
          <w:sz w:val="22"/>
          <w:szCs w:val="22"/>
        </w:rPr>
        <w:t>ge</w:t>
      </w:r>
      <w:r w:rsidR="004B631B">
        <w:rPr>
          <w:rFonts w:ascii="Calibri" w:hAnsi="Calibri" w:cs="Times New Roman"/>
          <w:sz w:val="22"/>
          <w:szCs w:val="22"/>
        </w:rPr>
        <w:t>, 7</w:t>
      </w:r>
      <w:r w:rsidR="00FA33EF">
        <w:rPr>
          <w:rFonts w:ascii="Calibri" w:hAnsi="Calibri" w:cs="Times New Roman"/>
          <w:sz w:val="22"/>
          <w:szCs w:val="22"/>
        </w:rPr>
        <w:t xml:space="preserve"> - Quality</w:t>
      </w:r>
      <w:r>
        <w:rPr>
          <w:rFonts w:ascii="Calibri" w:hAnsi="Calibri" w:cs="Times New Roman"/>
          <w:sz w:val="22"/>
          <w:szCs w:val="22"/>
        </w:rPr>
        <w:t xml:space="preserve">, </w:t>
      </w:r>
      <w:r w:rsidR="004B631B">
        <w:rPr>
          <w:rFonts w:ascii="Calibri" w:hAnsi="Calibri" w:cs="Times New Roman"/>
          <w:sz w:val="22"/>
          <w:szCs w:val="22"/>
        </w:rPr>
        <w:t>8</w:t>
      </w:r>
      <w:r w:rsidR="00FA33EF">
        <w:rPr>
          <w:rFonts w:ascii="Calibri" w:hAnsi="Calibri" w:cs="Times New Roman"/>
          <w:sz w:val="22"/>
          <w:szCs w:val="22"/>
        </w:rPr>
        <w:t xml:space="preserve"> - Outcomes</w:t>
      </w:r>
      <w:r>
        <w:rPr>
          <w:rFonts w:ascii="Calibri" w:hAnsi="Calibri" w:cs="Times New Roman"/>
          <w:sz w:val="22"/>
          <w:szCs w:val="22"/>
        </w:rPr>
        <w:t xml:space="preserve">, </w:t>
      </w:r>
      <w:r w:rsidR="004B631B">
        <w:rPr>
          <w:rFonts w:ascii="Calibri" w:hAnsi="Calibri" w:cs="Times New Roman"/>
          <w:sz w:val="22"/>
          <w:szCs w:val="22"/>
        </w:rPr>
        <w:t>9</w:t>
      </w:r>
      <w:r w:rsidRPr="007F10F9">
        <w:rPr>
          <w:rFonts w:ascii="Calibri" w:hAnsi="Calibri" w:cs="Times New Roman"/>
          <w:sz w:val="22"/>
          <w:szCs w:val="22"/>
        </w:rPr>
        <w:t xml:space="preserve"> - Patient Perspect</w:t>
      </w:r>
      <w:r w:rsidR="00FA33EF">
        <w:rPr>
          <w:rFonts w:ascii="Calibri" w:hAnsi="Calibri" w:cs="Times New Roman"/>
          <w:sz w:val="22"/>
          <w:szCs w:val="22"/>
        </w:rPr>
        <w:t>ives</w:t>
      </w:r>
      <w:r w:rsidR="004B631B">
        <w:rPr>
          <w:rFonts w:ascii="Calibri" w:hAnsi="Calibri" w:cs="Times New Roman"/>
          <w:sz w:val="22"/>
          <w:szCs w:val="22"/>
        </w:rPr>
        <w:t>,</w:t>
      </w:r>
      <w:r>
        <w:rPr>
          <w:rFonts w:ascii="Calibri" w:hAnsi="Calibri" w:cs="Times New Roman"/>
          <w:sz w:val="22"/>
          <w:szCs w:val="22"/>
        </w:rPr>
        <w:t xml:space="preserve"> and </w:t>
      </w:r>
      <w:r w:rsidR="004B631B">
        <w:rPr>
          <w:rFonts w:ascii="Calibri" w:hAnsi="Calibri" w:cs="Times New Roman"/>
          <w:sz w:val="22"/>
          <w:szCs w:val="22"/>
        </w:rPr>
        <w:t>10</w:t>
      </w:r>
      <w:r w:rsidR="00FA33EF">
        <w:rPr>
          <w:rFonts w:ascii="Calibri" w:hAnsi="Calibri" w:cs="Times New Roman"/>
          <w:sz w:val="22"/>
          <w:szCs w:val="22"/>
        </w:rPr>
        <w:t xml:space="preserve"> - Financial Stability</w:t>
      </w:r>
      <w:r>
        <w:rPr>
          <w:rFonts w:ascii="Calibri" w:hAnsi="Calibri" w:cs="Times New Roman"/>
          <w:sz w:val="22"/>
          <w:szCs w:val="22"/>
        </w:rPr>
        <w:t>.</w:t>
      </w:r>
    </w:p>
    <w:p w:rsidR="00ED0720" w:rsidRDefault="00ED0720" w:rsidP="00ED0720">
      <w:pPr>
        <w:rPr>
          <w:rFonts w:ascii="Calibri" w:hAnsi="Calibri" w:cs="Times New Roman"/>
          <w:b/>
          <w:sz w:val="22"/>
          <w:szCs w:val="22"/>
        </w:rPr>
      </w:pPr>
    </w:p>
    <w:p w:rsidR="00AA7C14" w:rsidRDefault="004B631B" w:rsidP="00AA7C14">
      <w:pPr>
        <w:jc w:val="center"/>
        <w:rPr>
          <w:rFonts w:ascii="Calibri" w:hAnsi="Calibri" w:cs="Times New Roman"/>
          <w:b/>
          <w:sz w:val="22"/>
          <w:szCs w:val="22"/>
        </w:rPr>
      </w:pPr>
      <w:r>
        <w:rPr>
          <w:rFonts w:ascii="Calibri" w:hAnsi="Calibri" w:cs="Times New Roman"/>
          <w:b/>
          <w:sz w:val="22"/>
          <w:szCs w:val="22"/>
        </w:rPr>
        <w:t>Of these ten</w:t>
      </w:r>
      <w:r w:rsidR="00CE70CE">
        <w:rPr>
          <w:rFonts w:ascii="Calibri" w:hAnsi="Calibri" w:cs="Times New Roman"/>
          <w:b/>
          <w:sz w:val="22"/>
          <w:szCs w:val="22"/>
        </w:rPr>
        <w:t xml:space="preserve"> pilla</w:t>
      </w:r>
      <w:r w:rsidR="007F10F9" w:rsidRPr="00AA7C14">
        <w:rPr>
          <w:rFonts w:ascii="Calibri" w:hAnsi="Calibri" w:cs="Times New Roman"/>
          <w:b/>
          <w:sz w:val="22"/>
          <w:szCs w:val="22"/>
        </w:rPr>
        <w:t>rs, NRH</w:t>
      </w:r>
      <w:r w:rsidR="006A44A9">
        <w:rPr>
          <w:rFonts w:ascii="Calibri" w:hAnsi="Calibri" w:cs="Times New Roman"/>
          <w:b/>
          <w:sz w:val="22"/>
          <w:szCs w:val="22"/>
        </w:rPr>
        <w:t>A extracts</w:t>
      </w:r>
      <w:r w:rsidR="00AA7C14">
        <w:rPr>
          <w:rFonts w:ascii="Calibri" w:hAnsi="Calibri" w:cs="Times New Roman"/>
          <w:b/>
          <w:sz w:val="22"/>
          <w:szCs w:val="22"/>
        </w:rPr>
        <w:t xml:space="preserve"> the three pillars of</w:t>
      </w:r>
    </w:p>
    <w:p w:rsidR="00AA7C14" w:rsidRDefault="007F10F9" w:rsidP="00AA7C14">
      <w:pPr>
        <w:jc w:val="center"/>
        <w:rPr>
          <w:rFonts w:ascii="Calibri" w:hAnsi="Calibri" w:cs="Times New Roman"/>
          <w:b/>
          <w:sz w:val="22"/>
          <w:szCs w:val="22"/>
        </w:rPr>
      </w:pPr>
      <w:r w:rsidRPr="00AA7C14">
        <w:rPr>
          <w:rFonts w:ascii="Calibri" w:hAnsi="Calibri" w:cs="Times New Roman"/>
          <w:b/>
          <w:sz w:val="22"/>
          <w:szCs w:val="22"/>
        </w:rPr>
        <w:t>Quality, Patient Prespectives (Patient Satisfaction) and Financial Stability</w:t>
      </w:r>
      <w:r w:rsidR="00AA7C14">
        <w:rPr>
          <w:rFonts w:ascii="Calibri" w:hAnsi="Calibri" w:cs="Times New Roman"/>
          <w:b/>
          <w:sz w:val="22"/>
          <w:szCs w:val="22"/>
        </w:rPr>
        <w:t xml:space="preserve"> </w:t>
      </w:r>
      <w:r w:rsidR="006A44A9">
        <w:rPr>
          <w:rFonts w:ascii="Calibri" w:hAnsi="Calibri" w:cs="Times New Roman"/>
          <w:b/>
          <w:sz w:val="22"/>
          <w:szCs w:val="22"/>
        </w:rPr>
        <w:t>and recognizes</w:t>
      </w:r>
    </w:p>
    <w:p w:rsidR="007F10F9" w:rsidRPr="00AA7C14" w:rsidRDefault="00A81B79" w:rsidP="00AA7C14">
      <w:pPr>
        <w:jc w:val="center"/>
        <w:rPr>
          <w:rFonts w:ascii="Calibri" w:hAnsi="Calibri" w:cs="Times New Roman"/>
          <w:b/>
          <w:sz w:val="22"/>
          <w:szCs w:val="22"/>
        </w:rPr>
      </w:pPr>
      <w:r>
        <w:rPr>
          <w:rFonts w:ascii="Calibri" w:hAnsi="Calibri" w:cs="Times New Roman"/>
          <w:b/>
          <w:sz w:val="22"/>
          <w:szCs w:val="22"/>
        </w:rPr>
        <w:t>the 20 highest ranking</w:t>
      </w:r>
      <w:r w:rsidR="007F10F9" w:rsidRPr="00AA7C14">
        <w:rPr>
          <w:rFonts w:ascii="Calibri" w:hAnsi="Calibri" w:cs="Times New Roman"/>
          <w:b/>
          <w:sz w:val="22"/>
          <w:szCs w:val="22"/>
        </w:rPr>
        <w:t xml:space="preserve"> CAHs qualifying in each</w:t>
      </w:r>
      <w:r w:rsidR="006A44A9">
        <w:rPr>
          <w:rFonts w:ascii="Calibri" w:hAnsi="Calibri" w:cs="Times New Roman"/>
          <w:b/>
          <w:sz w:val="22"/>
          <w:szCs w:val="22"/>
        </w:rPr>
        <w:t>, naming them</w:t>
      </w:r>
      <w:r w:rsidR="007F10F9" w:rsidRPr="00AA7C14">
        <w:rPr>
          <w:rFonts w:ascii="Calibri" w:hAnsi="Calibri" w:cs="Times New Roman"/>
          <w:b/>
          <w:sz w:val="22"/>
          <w:szCs w:val="22"/>
        </w:rPr>
        <w:t xml:space="preserve"> </w:t>
      </w:r>
      <w:r w:rsidR="00ED0720">
        <w:rPr>
          <w:rFonts w:ascii="Calibri" w:hAnsi="Calibri" w:cs="Times New Roman"/>
          <w:b/>
          <w:sz w:val="22"/>
          <w:szCs w:val="22"/>
        </w:rPr>
        <w:t xml:space="preserve">a </w:t>
      </w:r>
      <w:r w:rsidR="007F10F9" w:rsidRPr="00AA7C14">
        <w:rPr>
          <w:rFonts w:ascii="Calibri" w:hAnsi="Calibri" w:cs="Times New Roman"/>
          <w:b/>
          <w:sz w:val="22"/>
          <w:szCs w:val="22"/>
        </w:rPr>
        <w:t>“</w:t>
      </w:r>
      <w:r w:rsidR="00ED0720">
        <w:rPr>
          <w:rFonts w:ascii="Calibri" w:hAnsi="Calibri" w:cs="Times New Roman"/>
          <w:b/>
          <w:sz w:val="22"/>
          <w:szCs w:val="22"/>
        </w:rPr>
        <w:t>Best Practice</w:t>
      </w:r>
      <w:r w:rsidR="007F10F9">
        <w:rPr>
          <w:rFonts w:ascii="Calibri" w:hAnsi="Calibri" w:cs="Times New Roman"/>
          <w:sz w:val="22"/>
          <w:szCs w:val="22"/>
        </w:rPr>
        <w:t>”</w:t>
      </w:r>
      <w:r w:rsidR="00ED0720">
        <w:rPr>
          <w:rFonts w:ascii="Calibri" w:hAnsi="Calibri" w:cs="Times New Roman"/>
          <w:sz w:val="22"/>
          <w:szCs w:val="22"/>
        </w:rPr>
        <w:t xml:space="preserve"> hospital in the designated category.</w:t>
      </w:r>
    </w:p>
    <w:p w:rsidR="007F10F9" w:rsidRDefault="007F10F9" w:rsidP="007F10F9">
      <w:pPr>
        <w:rPr>
          <w:rFonts w:ascii="Calibri" w:eastAsia="Calibri" w:hAnsi="Calibri" w:cs="Times New Roman"/>
          <w:sz w:val="22"/>
          <w:szCs w:val="22"/>
        </w:rPr>
      </w:pPr>
      <w:r>
        <w:rPr>
          <w:rFonts w:ascii="Calibri" w:eastAsia="Calibri" w:hAnsi="Calibri" w:cs="Times New Roman"/>
          <w:sz w:val="22"/>
          <w:szCs w:val="22"/>
        </w:rPr>
        <w:t xml:space="preserve"> </w:t>
      </w:r>
    </w:p>
    <w:p w:rsidR="007F10F9" w:rsidRDefault="00AA7C14" w:rsidP="007F10F9">
      <w:pPr>
        <w:numPr>
          <w:ilvl w:val="0"/>
          <w:numId w:val="1"/>
        </w:numPr>
        <w:rPr>
          <w:rFonts w:ascii="Calibri" w:hAnsi="Calibri" w:cs="Times New Roman"/>
          <w:sz w:val="22"/>
          <w:szCs w:val="22"/>
        </w:rPr>
      </w:pPr>
      <w:r>
        <w:rPr>
          <w:rFonts w:ascii="Calibri" w:hAnsi="Calibri" w:cs="Times New Roman"/>
          <w:b/>
          <w:sz w:val="22"/>
          <w:szCs w:val="22"/>
        </w:rPr>
        <w:t xml:space="preserve"> </w:t>
      </w:r>
      <w:r w:rsidR="007F10F9">
        <w:rPr>
          <w:rFonts w:ascii="Calibri" w:hAnsi="Calibri" w:cs="Times New Roman"/>
          <w:b/>
          <w:sz w:val="22"/>
          <w:szCs w:val="22"/>
        </w:rPr>
        <w:t xml:space="preserve">“Quality </w:t>
      </w:r>
      <w:r w:rsidR="005A24FB">
        <w:rPr>
          <w:rFonts w:ascii="Calibri" w:hAnsi="Calibri" w:cs="Times New Roman"/>
          <w:b/>
          <w:sz w:val="22"/>
          <w:szCs w:val="22"/>
        </w:rPr>
        <w:t>INDEX</w:t>
      </w:r>
      <w:r w:rsidR="007F10F9">
        <w:rPr>
          <w:rFonts w:ascii="Calibri" w:hAnsi="Calibri" w:cs="Times New Roman"/>
          <w:b/>
          <w:sz w:val="22"/>
          <w:szCs w:val="22"/>
        </w:rPr>
        <w:t xml:space="preserve">” -- </w:t>
      </w:r>
      <w:r w:rsidR="007F10F9" w:rsidRPr="00D341A4">
        <w:rPr>
          <w:rFonts w:ascii="Calibri" w:hAnsi="Calibri" w:cs="Times New Roman"/>
          <w:b/>
          <w:sz w:val="22"/>
          <w:szCs w:val="22"/>
        </w:rPr>
        <w:t xml:space="preserve">Hospital Compare Process of Care Measures – </w:t>
      </w:r>
      <w:r w:rsidR="007F10F9">
        <w:rPr>
          <w:rFonts w:ascii="Calibri" w:hAnsi="Calibri" w:cs="Times New Roman"/>
          <w:sz w:val="22"/>
          <w:szCs w:val="22"/>
        </w:rPr>
        <w:t>Each individual CMS process of care measure topic area (Acute Myocardial Infarction, Heart Failure, Pneumonia, Congestive Heart Failure, Surgical Care Improvement Program and Outpatient measures) is indexed across the range of national</w:t>
      </w:r>
      <w:r w:rsidR="002F5BF5">
        <w:rPr>
          <w:rFonts w:ascii="Calibri" w:hAnsi="Calibri" w:cs="Times New Roman"/>
          <w:sz w:val="22"/>
          <w:szCs w:val="22"/>
        </w:rPr>
        <w:t xml:space="preserve"> performance for each measure. </w:t>
      </w:r>
      <w:r w:rsidR="007F10F9">
        <w:rPr>
          <w:rFonts w:ascii="Calibri" w:hAnsi="Calibri" w:cs="Times New Roman"/>
          <w:sz w:val="22"/>
          <w:szCs w:val="22"/>
        </w:rPr>
        <w:t>The index scores are averaged to pro</w:t>
      </w:r>
      <w:r w:rsidR="002F5BF5">
        <w:rPr>
          <w:rFonts w:ascii="Calibri" w:hAnsi="Calibri" w:cs="Times New Roman"/>
          <w:sz w:val="22"/>
          <w:szCs w:val="22"/>
        </w:rPr>
        <w:t xml:space="preserve">duce a single composite score. </w:t>
      </w:r>
      <w:r w:rsidR="007F10F9" w:rsidRPr="00D341A4">
        <w:rPr>
          <w:rFonts w:ascii="Calibri" w:hAnsi="Calibri" w:cs="Times New Roman"/>
          <w:sz w:val="22"/>
          <w:szCs w:val="22"/>
        </w:rPr>
        <w:t xml:space="preserve">All available </w:t>
      </w:r>
      <w:r w:rsidR="007F10F9">
        <w:rPr>
          <w:rFonts w:ascii="Calibri" w:hAnsi="Calibri" w:cs="Times New Roman"/>
          <w:sz w:val="22"/>
          <w:szCs w:val="22"/>
        </w:rPr>
        <w:t>data are</w:t>
      </w:r>
      <w:r w:rsidR="007F10F9" w:rsidRPr="00D341A4">
        <w:rPr>
          <w:rFonts w:ascii="Calibri" w:hAnsi="Calibri" w:cs="Times New Roman"/>
          <w:sz w:val="22"/>
          <w:szCs w:val="22"/>
        </w:rPr>
        <w:t xml:space="preserve"> used in the calculation of </w:t>
      </w:r>
      <w:r w:rsidR="007F10F9">
        <w:rPr>
          <w:rFonts w:ascii="Calibri" w:hAnsi="Calibri" w:cs="Times New Roman"/>
          <w:sz w:val="22"/>
          <w:szCs w:val="22"/>
        </w:rPr>
        <w:t>composite scores</w:t>
      </w:r>
      <w:r w:rsidR="007F10F9" w:rsidRPr="00D341A4">
        <w:rPr>
          <w:rFonts w:ascii="Calibri" w:hAnsi="Calibri" w:cs="Times New Roman"/>
          <w:sz w:val="22"/>
          <w:szCs w:val="22"/>
        </w:rPr>
        <w:t>. Missing data within measure sets are ignored.</w:t>
      </w:r>
    </w:p>
    <w:p w:rsidR="007F10F9" w:rsidRPr="00D341A4" w:rsidRDefault="007F10F9" w:rsidP="007F10F9">
      <w:pPr>
        <w:ind w:left="720"/>
        <w:rPr>
          <w:rFonts w:ascii="Calibri" w:hAnsi="Calibri" w:cs="Times New Roman"/>
          <w:b/>
          <w:sz w:val="22"/>
          <w:szCs w:val="22"/>
        </w:rPr>
      </w:pPr>
    </w:p>
    <w:p w:rsidR="007F10F9" w:rsidRPr="00D341A4" w:rsidRDefault="007F10F9" w:rsidP="007F10F9">
      <w:pPr>
        <w:numPr>
          <w:ilvl w:val="0"/>
          <w:numId w:val="1"/>
        </w:numPr>
        <w:rPr>
          <w:rFonts w:ascii="Calibri" w:hAnsi="Calibri" w:cs="Times New Roman"/>
          <w:sz w:val="22"/>
          <w:szCs w:val="22"/>
        </w:rPr>
      </w:pPr>
      <w:r>
        <w:rPr>
          <w:rFonts w:ascii="Calibri" w:hAnsi="Calibri" w:cs="Times New Roman"/>
          <w:b/>
          <w:sz w:val="22"/>
          <w:szCs w:val="22"/>
        </w:rPr>
        <w:t xml:space="preserve">“Patient Perspectives </w:t>
      </w:r>
      <w:r w:rsidR="005A24FB">
        <w:rPr>
          <w:rFonts w:ascii="Calibri" w:hAnsi="Calibri" w:cs="Times New Roman"/>
          <w:b/>
          <w:sz w:val="22"/>
          <w:szCs w:val="22"/>
        </w:rPr>
        <w:t>INDEX</w:t>
      </w:r>
      <w:r>
        <w:rPr>
          <w:rFonts w:ascii="Calibri" w:hAnsi="Calibri" w:cs="Times New Roman"/>
          <w:b/>
          <w:sz w:val="22"/>
          <w:szCs w:val="22"/>
        </w:rPr>
        <w:t xml:space="preserve">” -- </w:t>
      </w:r>
      <w:r w:rsidRPr="00B01C86">
        <w:rPr>
          <w:rFonts w:ascii="Calibri" w:hAnsi="Calibri" w:cs="Times New Roman"/>
          <w:b/>
          <w:sz w:val="22"/>
          <w:szCs w:val="22"/>
        </w:rPr>
        <w:t>Hospital Compare Hospital Consumer Assessment of Health</w:t>
      </w:r>
      <w:r w:rsidR="00035579">
        <w:rPr>
          <w:rFonts w:ascii="Calibri" w:hAnsi="Calibri" w:cs="Times New Roman"/>
          <w:b/>
          <w:sz w:val="22"/>
          <w:szCs w:val="22"/>
        </w:rPr>
        <w:t xml:space="preserve"> </w:t>
      </w:r>
      <w:r w:rsidRPr="00B01C86">
        <w:rPr>
          <w:rFonts w:ascii="Calibri" w:hAnsi="Calibri" w:cs="Times New Roman"/>
          <w:b/>
          <w:sz w:val="22"/>
          <w:szCs w:val="22"/>
        </w:rPr>
        <w:t>care Providers and Systems (HCAHPS) Measures</w:t>
      </w:r>
      <w:r>
        <w:rPr>
          <w:rFonts w:ascii="Calibri" w:hAnsi="Calibri" w:cs="Times New Roman"/>
          <w:b/>
          <w:sz w:val="22"/>
          <w:szCs w:val="22"/>
        </w:rPr>
        <w:t xml:space="preserve"> – </w:t>
      </w:r>
      <w:r>
        <w:rPr>
          <w:rFonts w:ascii="Calibri" w:hAnsi="Calibri" w:cs="Times New Roman"/>
          <w:sz w:val="22"/>
          <w:szCs w:val="22"/>
        </w:rPr>
        <w:t>Each individual question is indexed across the range of national perfo</w:t>
      </w:r>
      <w:r w:rsidR="002F5BF5">
        <w:rPr>
          <w:rFonts w:ascii="Calibri" w:hAnsi="Calibri" w:cs="Times New Roman"/>
          <w:sz w:val="22"/>
          <w:szCs w:val="22"/>
        </w:rPr>
        <w:t xml:space="preserve">rmance for that question. </w:t>
      </w:r>
      <w:r>
        <w:rPr>
          <w:rFonts w:ascii="Calibri" w:hAnsi="Calibri" w:cs="Times New Roman"/>
          <w:sz w:val="22"/>
          <w:szCs w:val="22"/>
        </w:rPr>
        <w:t>The index scores for two HCAHPS questions (“Definitely Recommend” and “Overall Rating 9-10”) are averaged to pr</w:t>
      </w:r>
      <w:r w:rsidR="002F5BF5">
        <w:rPr>
          <w:rFonts w:ascii="Calibri" w:hAnsi="Calibri" w:cs="Times New Roman"/>
          <w:sz w:val="22"/>
          <w:szCs w:val="22"/>
        </w:rPr>
        <w:t>oduce a single composite score.</w:t>
      </w:r>
      <w:r>
        <w:rPr>
          <w:rFonts w:ascii="Calibri" w:hAnsi="Calibri" w:cs="Times New Roman"/>
          <w:sz w:val="22"/>
          <w:szCs w:val="22"/>
        </w:rPr>
        <w:t xml:space="preserve"> </w:t>
      </w:r>
      <w:r w:rsidRPr="00D341A4">
        <w:rPr>
          <w:rFonts w:ascii="Calibri" w:hAnsi="Calibri" w:cs="Times New Roman"/>
          <w:sz w:val="22"/>
          <w:szCs w:val="22"/>
        </w:rPr>
        <w:t xml:space="preserve">All available </w:t>
      </w:r>
      <w:r>
        <w:rPr>
          <w:rFonts w:ascii="Calibri" w:hAnsi="Calibri" w:cs="Times New Roman"/>
          <w:sz w:val="22"/>
          <w:szCs w:val="22"/>
        </w:rPr>
        <w:t>data are</w:t>
      </w:r>
      <w:r w:rsidRPr="00D341A4">
        <w:rPr>
          <w:rFonts w:ascii="Calibri" w:hAnsi="Calibri" w:cs="Times New Roman"/>
          <w:sz w:val="22"/>
          <w:szCs w:val="22"/>
        </w:rPr>
        <w:t xml:space="preserve"> used in the calculation of </w:t>
      </w:r>
      <w:r>
        <w:rPr>
          <w:rFonts w:ascii="Calibri" w:hAnsi="Calibri" w:cs="Times New Roman"/>
          <w:sz w:val="22"/>
          <w:szCs w:val="22"/>
        </w:rPr>
        <w:t>composite scores</w:t>
      </w:r>
      <w:r w:rsidRPr="00D341A4">
        <w:rPr>
          <w:rFonts w:ascii="Calibri" w:hAnsi="Calibri" w:cs="Times New Roman"/>
          <w:sz w:val="22"/>
          <w:szCs w:val="22"/>
        </w:rPr>
        <w:t>. Missing data within measure sets are ignored.</w:t>
      </w:r>
    </w:p>
    <w:p w:rsidR="007F10F9" w:rsidRDefault="007F10F9" w:rsidP="007F10F9">
      <w:pPr>
        <w:rPr>
          <w:rFonts w:ascii="Calibri" w:hAnsi="Calibri" w:cs="Times New Roman"/>
          <w:sz w:val="22"/>
          <w:szCs w:val="22"/>
        </w:rPr>
      </w:pPr>
    </w:p>
    <w:p w:rsidR="007F10F9" w:rsidRDefault="007F10F9" w:rsidP="007F10F9">
      <w:pPr>
        <w:numPr>
          <w:ilvl w:val="0"/>
          <w:numId w:val="1"/>
        </w:numPr>
        <w:rPr>
          <w:rFonts w:ascii="Calibri" w:hAnsi="Calibri" w:cs="Times New Roman"/>
          <w:sz w:val="22"/>
          <w:szCs w:val="22"/>
        </w:rPr>
      </w:pPr>
      <w:r>
        <w:rPr>
          <w:rFonts w:ascii="Calibri" w:hAnsi="Calibri" w:cs="Times New Roman"/>
          <w:b/>
          <w:sz w:val="22"/>
          <w:szCs w:val="22"/>
        </w:rPr>
        <w:t xml:space="preserve">“Financial Stability </w:t>
      </w:r>
      <w:r w:rsidR="005A24FB">
        <w:rPr>
          <w:rFonts w:ascii="Calibri" w:hAnsi="Calibri" w:cs="Times New Roman"/>
          <w:b/>
          <w:sz w:val="22"/>
          <w:szCs w:val="22"/>
        </w:rPr>
        <w:t>INDEX</w:t>
      </w:r>
      <w:r>
        <w:rPr>
          <w:rFonts w:ascii="Calibri" w:hAnsi="Calibri" w:cs="Times New Roman"/>
          <w:b/>
          <w:sz w:val="22"/>
          <w:szCs w:val="22"/>
        </w:rPr>
        <w:t xml:space="preserve">” – Financial Ratios based on CMS Electronic Cost Reports – </w:t>
      </w:r>
      <w:r w:rsidRPr="006256D6">
        <w:rPr>
          <w:rFonts w:ascii="Calibri" w:hAnsi="Calibri" w:cs="Times New Roman"/>
          <w:sz w:val="22"/>
          <w:szCs w:val="22"/>
        </w:rPr>
        <w:t>Percentile rankin</w:t>
      </w:r>
      <w:r>
        <w:rPr>
          <w:rFonts w:ascii="Calibri" w:hAnsi="Calibri" w:cs="Times New Roman"/>
          <w:sz w:val="22"/>
          <w:szCs w:val="22"/>
        </w:rPr>
        <w:t xml:space="preserve">gs are calculated based on four </w:t>
      </w:r>
      <w:r w:rsidRPr="006256D6">
        <w:rPr>
          <w:rFonts w:ascii="Calibri" w:hAnsi="Calibri" w:cs="Times New Roman"/>
          <w:sz w:val="22"/>
          <w:szCs w:val="22"/>
        </w:rPr>
        <w:t>financial indicator</w:t>
      </w:r>
      <w:r>
        <w:rPr>
          <w:rFonts w:ascii="Calibri" w:hAnsi="Calibri" w:cs="Times New Roman"/>
          <w:sz w:val="22"/>
          <w:szCs w:val="22"/>
        </w:rPr>
        <w:t>s: Leverage, Liquidity, Capital Efficiency and Resource Availability</w:t>
      </w:r>
      <w:r w:rsidRPr="006256D6">
        <w:rPr>
          <w:rFonts w:ascii="Calibri" w:hAnsi="Calibri" w:cs="Times New Roman"/>
          <w:sz w:val="22"/>
          <w:szCs w:val="22"/>
        </w:rPr>
        <w:t xml:space="preserve">. Higher scores receive higher rankings for all indicators except </w:t>
      </w:r>
      <w:r>
        <w:rPr>
          <w:rFonts w:ascii="Calibri" w:hAnsi="Calibri" w:cs="Times New Roman"/>
          <w:sz w:val="22"/>
          <w:szCs w:val="22"/>
        </w:rPr>
        <w:t>L</w:t>
      </w:r>
      <w:r w:rsidRPr="006256D6">
        <w:rPr>
          <w:rFonts w:ascii="Calibri" w:hAnsi="Calibri" w:cs="Times New Roman"/>
          <w:sz w:val="22"/>
          <w:szCs w:val="22"/>
        </w:rPr>
        <w:t xml:space="preserve">everage, where lower scores receive higher rankings. </w:t>
      </w:r>
    </w:p>
    <w:p w:rsidR="00000893" w:rsidRDefault="00000893" w:rsidP="00AA7C14">
      <w:pPr>
        <w:rPr>
          <w:rFonts w:ascii="Calibri" w:eastAsia="Calibri" w:hAnsi="Calibri" w:cs="Times New Roman"/>
          <w:sz w:val="22"/>
          <w:szCs w:val="22"/>
        </w:rPr>
      </w:pPr>
    </w:p>
    <w:p w:rsidR="002F5BF5" w:rsidRPr="00035579" w:rsidRDefault="00000893" w:rsidP="00AA7C14">
      <w:pPr>
        <w:rPr>
          <w:rFonts w:ascii="Calibri" w:eastAsia="Calibri" w:hAnsi="Calibri" w:cs="Times New Roman"/>
          <w:sz w:val="28"/>
          <w:szCs w:val="28"/>
        </w:rPr>
      </w:pPr>
      <w:r w:rsidRPr="009C7D96">
        <w:rPr>
          <w:rFonts w:ascii="Calibri" w:eastAsia="Calibri" w:hAnsi="Calibri" w:cs="Times New Roman"/>
          <w:sz w:val="28"/>
          <w:szCs w:val="28"/>
        </w:rPr>
        <w:t>About NRHA</w:t>
      </w:r>
    </w:p>
    <w:p w:rsidR="00000893" w:rsidRPr="0040320C" w:rsidRDefault="00000893" w:rsidP="00AA7C14">
      <w:pPr>
        <w:rPr>
          <w:sz w:val="22"/>
          <w:szCs w:val="22"/>
        </w:rPr>
      </w:pPr>
      <w:r w:rsidRPr="0040320C">
        <w:rPr>
          <w:sz w:val="22"/>
          <w:szCs w:val="22"/>
        </w:rPr>
        <w:t>The National Rural Health Association (NRHA) is a national nonprofit membership organization with more than 20,000 members. The association’s mission is to provide leadership on rural health issues. NRHA membership consists of a diverse collection of individuals and organizations, all of whom share the common bond of an interest in rural health.</w:t>
      </w:r>
    </w:p>
    <w:p w:rsidR="00000893" w:rsidRDefault="00000893" w:rsidP="00AA7C14">
      <w:pPr>
        <w:rPr>
          <w:rFonts w:ascii="Calibri" w:eastAsia="Calibri" w:hAnsi="Calibri" w:cs="Times New Roman"/>
          <w:sz w:val="22"/>
          <w:szCs w:val="22"/>
        </w:rPr>
      </w:pPr>
    </w:p>
    <w:p w:rsidR="002F5BF5" w:rsidRPr="00035579" w:rsidRDefault="00000893" w:rsidP="00AA7C14">
      <w:pPr>
        <w:rPr>
          <w:rFonts w:ascii="Calibri" w:eastAsia="Calibri" w:hAnsi="Calibri" w:cs="Times New Roman"/>
          <w:sz w:val="28"/>
          <w:szCs w:val="28"/>
        </w:rPr>
      </w:pPr>
      <w:r w:rsidRPr="009C7D96">
        <w:rPr>
          <w:rFonts w:ascii="Calibri" w:eastAsia="Calibri" w:hAnsi="Calibri" w:cs="Times New Roman"/>
          <w:sz w:val="28"/>
          <w:szCs w:val="28"/>
        </w:rPr>
        <w:t>About iVantage Health Analytics</w:t>
      </w:r>
    </w:p>
    <w:p w:rsidR="005A24FB" w:rsidRPr="005A24FB" w:rsidRDefault="005A24FB" w:rsidP="005A24FB">
      <w:pPr>
        <w:rPr>
          <w:rFonts w:ascii="Calibri" w:hAnsi="Calibri" w:cs="Arial"/>
          <w:sz w:val="22"/>
          <w:szCs w:val="22"/>
        </w:rPr>
      </w:pPr>
      <w:r w:rsidRPr="005A24FB">
        <w:rPr>
          <w:rFonts w:ascii="Calibri" w:hAnsi="Calibri" w:cs="Arial"/>
          <w:sz w:val="22"/>
          <w:szCs w:val="22"/>
        </w:rPr>
        <w:t xml:space="preserve">iVantage is a leading advisory and business analytic services company applying Accelerated Healthcare Transformation™ and the VantagePoints™ platform to drive sustained, evidence-based results. The company’s unique combination of technology, content, and expert advisory services accelerates decision making for the new healthcare.  </w:t>
      </w:r>
    </w:p>
    <w:p w:rsidR="00035579" w:rsidRDefault="00035579" w:rsidP="00AA7C14">
      <w:pPr>
        <w:rPr>
          <w:rFonts w:ascii="Calibri" w:hAnsi="Calibri" w:cs="Arial"/>
          <w:sz w:val="22"/>
          <w:szCs w:val="22"/>
        </w:rPr>
      </w:pPr>
    </w:p>
    <w:p w:rsidR="00035579" w:rsidRDefault="00035579" w:rsidP="00AA7C14">
      <w:pPr>
        <w:rPr>
          <w:rFonts w:ascii="Calibri" w:hAnsi="Calibri" w:cs="Arial"/>
          <w:sz w:val="22"/>
          <w:szCs w:val="22"/>
        </w:rPr>
      </w:pPr>
      <w:r>
        <w:rPr>
          <w:rFonts w:ascii="Calibri" w:hAnsi="Calibri" w:cs="Arial"/>
          <w:sz w:val="22"/>
          <w:szCs w:val="22"/>
        </w:rPr>
        <w:t>**********</w:t>
      </w:r>
    </w:p>
    <w:p w:rsidR="00035579" w:rsidRDefault="00035579" w:rsidP="00AA7C14">
      <w:pPr>
        <w:rPr>
          <w:rFonts w:ascii="Calibri" w:hAnsi="Calibri" w:cs="Arial"/>
          <w:sz w:val="22"/>
          <w:szCs w:val="22"/>
        </w:rPr>
      </w:pPr>
    </w:p>
    <w:p w:rsidR="00035579" w:rsidRDefault="00035579" w:rsidP="00035579">
      <w:pPr>
        <w:rPr>
          <w:rFonts w:ascii="Calibri" w:eastAsia="Calibri" w:hAnsi="Calibri" w:cs="Times New Roman"/>
          <w:sz w:val="22"/>
          <w:szCs w:val="22"/>
        </w:rPr>
      </w:pPr>
      <w:r>
        <w:rPr>
          <w:rFonts w:ascii="Calibri" w:eastAsia="Calibri" w:hAnsi="Calibri" w:cs="Times New Roman"/>
          <w:sz w:val="22"/>
          <w:szCs w:val="22"/>
        </w:rPr>
        <w:t xml:space="preserve">For more information about the NRHA Top 20 awards breakfast contact Donna Douglas at </w:t>
      </w:r>
      <w:hyperlink r:id="rId7" w:history="1">
        <w:r w:rsidRPr="00D50A65">
          <w:rPr>
            <w:rStyle w:val="Hyperlink"/>
            <w:rFonts w:ascii="Calibri" w:eastAsia="Calibri" w:hAnsi="Calibri" w:cs="Times New Roman"/>
            <w:sz w:val="22"/>
            <w:szCs w:val="22"/>
          </w:rPr>
          <w:t>ddouglas@NRHArural.org</w:t>
        </w:r>
      </w:hyperlink>
      <w:r>
        <w:rPr>
          <w:rFonts w:ascii="Calibri" w:eastAsia="Calibri" w:hAnsi="Calibri" w:cs="Times New Roman"/>
          <w:sz w:val="22"/>
          <w:szCs w:val="22"/>
        </w:rPr>
        <w:t>.</w:t>
      </w:r>
    </w:p>
    <w:p w:rsidR="004130CC" w:rsidRDefault="00035579" w:rsidP="00035579">
      <w:pPr>
        <w:rPr>
          <w:sz w:val="22"/>
          <w:szCs w:val="22"/>
        </w:rPr>
      </w:pPr>
      <w:r w:rsidRPr="00704043">
        <w:rPr>
          <w:rFonts w:ascii="Calibri" w:eastAsia="Calibri" w:hAnsi="Calibri" w:cs="Times New Roman"/>
          <w:sz w:val="22"/>
          <w:szCs w:val="22"/>
        </w:rPr>
        <w:t>For more information about the cr</w:t>
      </w:r>
      <w:r w:rsidR="004130CC" w:rsidRPr="00704043">
        <w:rPr>
          <w:rFonts w:ascii="Calibri" w:eastAsia="Calibri" w:hAnsi="Calibri" w:cs="Times New Roman"/>
          <w:sz w:val="22"/>
          <w:szCs w:val="22"/>
        </w:rPr>
        <w:t>iteria used</w:t>
      </w:r>
      <w:r w:rsidR="005A24FB">
        <w:rPr>
          <w:rFonts w:ascii="Calibri" w:eastAsia="Calibri" w:hAnsi="Calibri" w:cs="Times New Roman"/>
          <w:sz w:val="22"/>
          <w:szCs w:val="22"/>
        </w:rPr>
        <w:t>,</w:t>
      </w:r>
      <w:r w:rsidR="004130CC" w:rsidRPr="00704043">
        <w:rPr>
          <w:rFonts w:ascii="Calibri" w:eastAsia="Calibri" w:hAnsi="Calibri" w:cs="Times New Roman"/>
          <w:sz w:val="22"/>
          <w:szCs w:val="22"/>
        </w:rPr>
        <w:t xml:space="preserve"> contact Michael Topchik</w:t>
      </w:r>
      <w:r w:rsidRPr="00704043">
        <w:rPr>
          <w:rFonts w:ascii="Calibri" w:eastAsia="Calibri" w:hAnsi="Calibri" w:cs="Times New Roman"/>
          <w:sz w:val="22"/>
          <w:szCs w:val="22"/>
        </w:rPr>
        <w:t xml:space="preserve"> at </w:t>
      </w:r>
      <w:hyperlink r:id="rId8" w:history="1">
        <w:r w:rsidR="00BD574A" w:rsidRPr="00704043">
          <w:rPr>
            <w:rStyle w:val="Hyperlink"/>
            <w:sz w:val="22"/>
            <w:szCs w:val="22"/>
          </w:rPr>
          <w:t>mtopchik@ivantagehealth.com</w:t>
        </w:r>
      </w:hyperlink>
      <w:r w:rsidR="00BD574A" w:rsidRPr="00704043">
        <w:rPr>
          <w:sz w:val="22"/>
          <w:szCs w:val="22"/>
        </w:rPr>
        <w:t xml:space="preserve"> or click on the following link:  </w:t>
      </w:r>
      <w:hyperlink r:id="rId9" w:history="1">
        <w:r w:rsidR="005A24FB" w:rsidRPr="00B573F2">
          <w:rPr>
            <w:rStyle w:val="Hyperlink"/>
            <w:sz w:val="22"/>
            <w:szCs w:val="22"/>
          </w:rPr>
          <w:t>www.ivantageindex.com</w:t>
        </w:r>
      </w:hyperlink>
    </w:p>
    <w:p w:rsidR="005A24FB" w:rsidRPr="00704043" w:rsidRDefault="005A24FB" w:rsidP="00035579">
      <w:pPr>
        <w:rPr>
          <w:sz w:val="22"/>
          <w:szCs w:val="22"/>
        </w:rPr>
      </w:pPr>
    </w:p>
    <w:p w:rsidR="00035579" w:rsidRDefault="00035579" w:rsidP="00035579">
      <w:pPr>
        <w:rPr>
          <w:rFonts w:ascii="Calibri" w:eastAsia="Calibri" w:hAnsi="Calibri" w:cs="Times New Roman"/>
          <w:sz w:val="22"/>
          <w:szCs w:val="22"/>
        </w:rPr>
      </w:pPr>
      <w:r>
        <w:rPr>
          <w:rFonts w:ascii="Calibri" w:eastAsia="Calibri" w:hAnsi="Calibri" w:cs="Times New Roman"/>
          <w:sz w:val="22"/>
          <w:szCs w:val="22"/>
        </w:rPr>
        <w:t>.</w:t>
      </w:r>
    </w:p>
    <w:p w:rsidR="006A44A9" w:rsidRDefault="006A44A9" w:rsidP="00AA7C14">
      <w:pPr>
        <w:rPr>
          <w:rFonts w:ascii="Calibri" w:eastAsia="Calibri" w:hAnsi="Calibri" w:cs="Times New Roman"/>
          <w:sz w:val="22"/>
          <w:szCs w:val="22"/>
        </w:rPr>
      </w:pPr>
    </w:p>
    <w:p w:rsidR="00000893" w:rsidRDefault="00000893" w:rsidP="00AA7C14">
      <w:pPr>
        <w:rPr>
          <w:rFonts w:ascii="Calibri" w:eastAsia="Calibri" w:hAnsi="Calibri" w:cs="Times New Roman"/>
          <w:sz w:val="22"/>
          <w:szCs w:val="22"/>
        </w:rPr>
      </w:pPr>
    </w:p>
    <w:p w:rsidR="00000893" w:rsidRPr="009C7D96" w:rsidRDefault="00000893" w:rsidP="002F5BF5">
      <w:pPr>
        <w:jc w:val="center"/>
        <w:rPr>
          <w:rFonts w:ascii="Calibri" w:eastAsia="Calibri" w:hAnsi="Calibri" w:cs="Times New Roman"/>
          <w:b/>
          <w:sz w:val="28"/>
          <w:szCs w:val="28"/>
        </w:rPr>
      </w:pPr>
      <w:r w:rsidRPr="009C7D96">
        <w:rPr>
          <w:rFonts w:ascii="Calibri" w:eastAsia="Calibri" w:hAnsi="Calibri" w:cs="Times New Roman"/>
          <w:b/>
          <w:sz w:val="28"/>
          <w:szCs w:val="28"/>
        </w:rPr>
        <w:t>About the Source Document Study</w:t>
      </w:r>
    </w:p>
    <w:p w:rsidR="00000893" w:rsidRPr="00035579" w:rsidRDefault="00000893" w:rsidP="00035579">
      <w:pPr>
        <w:spacing w:after="200"/>
        <w:outlineLvl w:val="0"/>
        <w:rPr>
          <w:rFonts w:ascii="Calibri" w:eastAsiaTheme="minorHAnsi" w:hAnsi="Calibri"/>
          <w:sz w:val="28"/>
          <w:szCs w:val="28"/>
        </w:rPr>
      </w:pPr>
      <w:r w:rsidRPr="009C7D96">
        <w:rPr>
          <w:rFonts w:ascii="Calibri" w:eastAsiaTheme="minorHAnsi" w:hAnsi="Calibri"/>
          <w:sz w:val="28"/>
          <w:szCs w:val="28"/>
        </w:rPr>
        <w:t>Introduction</w:t>
      </w:r>
      <w:r w:rsidR="00035579">
        <w:rPr>
          <w:rFonts w:ascii="Calibri" w:eastAsiaTheme="minorHAnsi" w:hAnsi="Calibri"/>
          <w:sz w:val="28"/>
          <w:szCs w:val="28"/>
        </w:rPr>
        <w:br/>
      </w:r>
      <w:r>
        <w:rPr>
          <w:rFonts w:ascii="Calibri" w:hAnsi="Calibri" w:cs="Times New Roman"/>
          <w:sz w:val="22"/>
          <w:szCs w:val="22"/>
        </w:rPr>
        <w:t>In an era of health</w:t>
      </w:r>
      <w:r w:rsidR="009C7D96">
        <w:rPr>
          <w:rFonts w:ascii="Calibri" w:hAnsi="Calibri" w:cs="Times New Roman"/>
          <w:sz w:val="22"/>
          <w:szCs w:val="22"/>
        </w:rPr>
        <w:t xml:space="preserve"> </w:t>
      </w:r>
      <w:r>
        <w:rPr>
          <w:rFonts w:ascii="Calibri" w:hAnsi="Calibri" w:cs="Times New Roman"/>
          <w:sz w:val="22"/>
          <w:szCs w:val="22"/>
        </w:rPr>
        <w:t xml:space="preserve">care reform, providers will face tremendous pressures; for Critical Access Hospitals (CAHs), these </w:t>
      </w:r>
      <w:r w:rsidR="00035579">
        <w:rPr>
          <w:rFonts w:ascii="Calibri" w:hAnsi="Calibri" w:cs="Times New Roman"/>
          <w:sz w:val="22"/>
          <w:szCs w:val="22"/>
        </w:rPr>
        <w:t xml:space="preserve">pressures will be exacerbated. </w:t>
      </w:r>
      <w:r>
        <w:rPr>
          <w:rFonts w:ascii="Calibri" w:hAnsi="Calibri" w:cs="Times New Roman"/>
          <w:sz w:val="22"/>
          <w:szCs w:val="22"/>
        </w:rPr>
        <w:t xml:space="preserve">Specifically, given their cost-based reimbursement, CAHs will be placed under a magnifying glass by </w:t>
      </w:r>
      <w:r w:rsidR="00035579">
        <w:rPr>
          <w:rFonts w:ascii="Calibri" w:hAnsi="Calibri" w:cs="Times New Roman"/>
          <w:sz w:val="22"/>
          <w:szCs w:val="22"/>
        </w:rPr>
        <w:t xml:space="preserve">public and private payers. </w:t>
      </w:r>
      <w:r>
        <w:rPr>
          <w:rFonts w:ascii="Calibri" w:hAnsi="Calibri" w:cs="Times New Roman"/>
          <w:sz w:val="22"/>
          <w:szCs w:val="22"/>
        </w:rPr>
        <w:t xml:space="preserve">Compounding this complex and challenging environment, policymakers will operate under the assumption that if </w:t>
      </w:r>
      <w:r w:rsidRPr="00697BA6">
        <w:rPr>
          <w:rFonts w:ascii="Calibri" w:hAnsi="Calibri" w:cs="Times New Roman"/>
          <w:sz w:val="22"/>
          <w:szCs w:val="22"/>
          <w:u w:val="single"/>
        </w:rPr>
        <w:t>one</w:t>
      </w:r>
      <w:r>
        <w:rPr>
          <w:rFonts w:ascii="Calibri" w:hAnsi="Calibri" w:cs="Times New Roman"/>
          <w:sz w:val="22"/>
          <w:szCs w:val="22"/>
        </w:rPr>
        <w:t xml:space="preserve"> CAH can achieve excellence in the form of high quality, efficiency, safety and satisfaction, then </w:t>
      </w:r>
      <w:r w:rsidRPr="00697BA6">
        <w:rPr>
          <w:rFonts w:ascii="Calibri" w:hAnsi="Calibri" w:cs="Times New Roman"/>
          <w:sz w:val="22"/>
          <w:szCs w:val="22"/>
          <w:u w:val="single"/>
        </w:rPr>
        <w:t>all</w:t>
      </w:r>
      <w:r>
        <w:rPr>
          <w:rFonts w:ascii="Calibri" w:hAnsi="Calibri" w:cs="Times New Roman"/>
          <w:sz w:val="22"/>
          <w:szCs w:val="22"/>
        </w:rPr>
        <w:t xml:space="preserve"> CAHs can be hel</w:t>
      </w:r>
      <w:r w:rsidR="00035579">
        <w:rPr>
          <w:rFonts w:ascii="Calibri" w:hAnsi="Calibri" w:cs="Times New Roman"/>
          <w:sz w:val="22"/>
          <w:szCs w:val="22"/>
        </w:rPr>
        <w:t xml:space="preserve">d to this same lofty standard. </w:t>
      </w:r>
    </w:p>
    <w:p w:rsidR="00000893" w:rsidRPr="00801F03" w:rsidRDefault="00000893" w:rsidP="00035579">
      <w:pPr>
        <w:spacing w:before="100" w:beforeAutospacing="1" w:after="100" w:afterAutospacing="1"/>
        <w:rPr>
          <w:rFonts w:ascii="Calibri" w:hAnsi="Calibri" w:cs="Times New Roman"/>
          <w:sz w:val="22"/>
          <w:szCs w:val="22"/>
        </w:rPr>
      </w:pPr>
      <w:r>
        <w:rPr>
          <w:rFonts w:ascii="Calibri" w:hAnsi="Calibri" w:cs="Times New Roman"/>
          <w:sz w:val="22"/>
          <w:szCs w:val="22"/>
        </w:rPr>
        <w:t>Given the increased scrutiny, transparency and zero-sum environment, the “Benchmark Performance for Critical Access Hospitals” study seeks to establish the industry’s definitive operational, clinical and financial performance standards for low-volume rural hospitals based on a comprehensive framework.</w:t>
      </w:r>
    </w:p>
    <w:p w:rsidR="00000893" w:rsidRPr="00ED0720" w:rsidRDefault="00000893" w:rsidP="00ED0720">
      <w:pPr>
        <w:spacing w:after="200"/>
        <w:outlineLvl w:val="0"/>
        <w:rPr>
          <w:rFonts w:ascii="Calibri" w:eastAsiaTheme="minorHAnsi" w:hAnsi="Calibri"/>
          <w:sz w:val="28"/>
          <w:szCs w:val="28"/>
        </w:rPr>
      </w:pPr>
      <w:r w:rsidRPr="009C7D96">
        <w:rPr>
          <w:rFonts w:ascii="Calibri" w:eastAsiaTheme="minorHAnsi" w:hAnsi="Calibri"/>
          <w:sz w:val="28"/>
          <w:szCs w:val="28"/>
        </w:rPr>
        <w:t>The Study</w:t>
      </w:r>
      <w:r w:rsidR="00035579">
        <w:rPr>
          <w:rFonts w:ascii="Calibri" w:eastAsiaTheme="minorHAnsi" w:hAnsi="Calibri"/>
          <w:sz w:val="28"/>
          <w:szCs w:val="28"/>
        </w:rPr>
        <w:br/>
      </w:r>
      <w:r w:rsidRPr="00690CF8">
        <w:rPr>
          <w:rFonts w:ascii="Calibri" w:hAnsi="Calibri" w:cs="Times New Roman"/>
          <w:sz w:val="22"/>
          <w:szCs w:val="22"/>
        </w:rPr>
        <w:t xml:space="preserve">The purpose of this </w:t>
      </w:r>
      <w:r>
        <w:rPr>
          <w:rFonts w:ascii="Calibri" w:hAnsi="Calibri" w:cs="Times New Roman"/>
          <w:sz w:val="22"/>
          <w:szCs w:val="22"/>
        </w:rPr>
        <w:t>study</w:t>
      </w:r>
      <w:r w:rsidRPr="00690CF8">
        <w:rPr>
          <w:rFonts w:ascii="Calibri" w:hAnsi="Calibri" w:cs="Times New Roman"/>
          <w:sz w:val="22"/>
          <w:szCs w:val="22"/>
        </w:rPr>
        <w:t xml:space="preserve"> is to use publically available data to provide</w:t>
      </w:r>
      <w:r>
        <w:rPr>
          <w:rFonts w:ascii="Calibri" w:hAnsi="Calibri" w:cs="Times New Roman"/>
          <w:sz w:val="22"/>
          <w:szCs w:val="22"/>
        </w:rPr>
        <w:t xml:space="preserve"> a comprehensive comparison of th</w:t>
      </w:r>
      <w:r w:rsidRPr="00530383">
        <w:rPr>
          <w:rFonts w:ascii="Calibri" w:hAnsi="Calibri" w:cs="Times New Roman"/>
          <w:sz w:val="22"/>
          <w:szCs w:val="22"/>
        </w:rPr>
        <w:t xml:space="preserve">e </w:t>
      </w:r>
      <w:r>
        <w:rPr>
          <w:rFonts w:ascii="Calibri" w:hAnsi="Calibri" w:cs="Times New Roman"/>
          <w:sz w:val="22"/>
          <w:szCs w:val="22"/>
        </w:rPr>
        <w:t>1,</w:t>
      </w:r>
      <w:r w:rsidR="005A24FB">
        <w:rPr>
          <w:rFonts w:ascii="Calibri" w:hAnsi="Calibri" w:cs="Times New Roman"/>
          <w:sz w:val="22"/>
          <w:szCs w:val="22"/>
        </w:rPr>
        <w:t>326</w:t>
      </w:r>
      <w:r w:rsidRPr="00530383">
        <w:rPr>
          <w:rFonts w:ascii="Calibri" w:hAnsi="Calibri" w:cs="Times New Roman"/>
          <w:sz w:val="22"/>
          <w:szCs w:val="22"/>
        </w:rPr>
        <w:t xml:space="preserve"> Critical Access</w:t>
      </w:r>
      <w:r>
        <w:rPr>
          <w:rFonts w:ascii="Calibri" w:hAnsi="Calibri" w:cs="Times New Roman"/>
          <w:sz w:val="22"/>
          <w:szCs w:val="22"/>
        </w:rPr>
        <w:t xml:space="preserve"> Hospitals</w:t>
      </w:r>
      <w:r w:rsidRPr="00690CF8">
        <w:rPr>
          <w:rFonts w:ascii="Calibri" w:hAnsi="Calibri" w:cs="Times New Roman"/>
          <w:sz w:val="22"/>
          <w:szCs w:val="22"/>
        </w:rPr>
        <w:t xml:space="preserve"> across a continuum of financial, value-based and market driven performance in</w:t>
      </w:r>
      <w:r>
        <w:rPr>
          <w:rFonts w:ascii="Calibri" w:hAnsi="Calibri" w:cs="Times New Roman"/>
          <w:sz w:val="22"/>
          <w:szCs w:val="22"/>
        </w:rPr>
        <w:t xml:space="preserve">dicators. The 100 Top CAHs </w:t>
      </w:r>
      <w:r w:rsidRPr="00690CF8">
        <w:rPr>
          <w:rFonts w:ascii="Calibri" w:hAnsi="Calibri" w:cs="Times New Roman"/>
          <w:sz w:val="22"/>
          <w:szCs w:val="22"/>
        </w:rPr>
        <w:t xml:space="preserve">are profiled in this study. The Hospital Strength </w:t>
      </w:r>
      <w:r w:rsidR="005A24FB">
        <w:rPr>
          <w:rFonts w:ascii="Calibri" w:hAnsi="Calibri" w:cs="Times New Roman"/>
          <w:sz w:val="22"/>
          <w:szCs w:val="22"/>
        </w:rPr>
        <w:t>INDEX</w:t>
      </w:r>
      <w:r w:rsidRPr="00690CF8">
        <w:rPr>
          <w:rFonts w:ascii="Calibri" w:hAnsi="Calibri" w:cs="Times New Roman"/>
          <w:sz w:val="22"/>
          <w:szCs w:val="22"/>
        </w:rPr>
        <w:t>™ model aggr</w:t>
      </w:r>
      <w:r>
        <w:rPr>
          <w:rFonts w:ascii="Calibri" w:hAnsi="Calibri" w:cs="Times New Roman"/>
          <w:sz w:val="22"/>
          <w:szCs w:val="22"/>
        </w:rPr>
        <w:t xml:space="preserve">egates data for </w:t>
      </w:r>
      <w:r w:rsidR="005A24FB">
        <w:rPr>
          <w:rFonts w:ascii="Calibri" w:hAnsi="Calibri" w:cs="Times New Roman"/>
          <w:sz w:val="22"/>
          <w:szCs w:val="22"/>
        </w:rPr>
        <w:t>62</w:t>
      </w:r>
      <w:r>
        <w:rPr>
          <w:rFonts w:ascii="Calibri" w:hAnsi="Calibri" w:cs="Times New Roman"/>
          <w:sz w:val="22"/>
          <w:szCs w:val="22"/>
        </w:rPr>
        <w:t xml:space="preserve"> indicator</w:t>
      </w:r>
      <w:r w:rsidRPr="00690CF8">
        <w:rPr>
          <w:rFonts w:ascii="Calibri" w:hAnsi="Calibri" w:cs="Times New Roman"/>
          <w:sz w:val="22"/>
          <w:szCs w:val="22"/>
        </w:rPr>
        <w:t xml:space="preserve">s organized into </w:t>
      </w:r>
      <w:r w:rsidR="005A24FB">
        <w:rPr>
          <w:rFonts w:ascii="Calibri" w:hAnsi="Calibri" w:cs="Times New Roman"/>
          <w:sz w:val="22"/>
          <w:szCs w:val="22"/>
        </w:rPr>
        <w:t>nine</w:t>
      </w:r>
      <w:r w:rsidRPr="00690CF8">
        <w:rPr>
          <w:rFonts w:ascii="Calibri" w:hAnsi="Calibri" w:cs="Times New Roman"/>
          <w:sz w:val="22"/>
          <w:szCs w:val="22"/>
        </w:rPr>
        <w:t xml:space="preserve"> performance categories. It focuses on a set of CMS value based indicators, augmented by market/competition and financial indicators. It is the first rating system to incorporate market position, competitive intensity and growing healthcare demand. It is also the first rating system modeled on research-based financial ratios most determinant of long-term financial sustainability. This study is unique because it is founded on the belief that a strong hospital/system has the following characteristics in the new health</w:t>
      </w:r>
      <w:r w:rsidR="009C0182">
        <w:rPr>
          <w:rFonts w:ascii="Calibri" w:hAnsi="Calibri" w:cs="Times New Roman"/>
          <w:sz w:val="22"/>
          <w:szCs w:val="22"/>
        </w:rPr>
        <w:t xml:space="preserve"> </w:t>
      </w:r>
      <w:r w:rsidRPr="00690CF8">
        <w:rPr>
          <w:rFonts w:ascii="Calibri" w:hAnsi="Calibri" w:cs="Times New Roman"/>
          <w:sz w:val="22"/>
          <w:szCs w:val="22"/>
        </w:rPr>
        <w:t>care:</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Low levels of population-related risk</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Dominant market position related to inpatient and outpatient services</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Outstanding quality and safety programs</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Loyal, satisfied patients</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 xml:space="preserve">Cost efficient and appropriately priced services </w:t>
      </w:r>
    </w:p>
    <w:p w:rsidR="005A24FB" w:rsidRPr="005A24FB" w:rsidRDefault="005A24FB" w:rsidP="005A24FB">
      <w:pPr>
        <w:pStyle w:val="ListParagraph"/>
        <w:numPr>
          <w:ilvl w:val="0"/>
          <w:numId w:val="3"/>
        </w:numPr>
        <w:rPr>
          <w:rFonts w:ascii="Calibri" w:hAnsi="Calibri" w:cs="Times New Roman"/>
          <w:sz w:val="22"/>
          <w:szCs w:val="22"/>
        </w:rPr>
      </w:pPr>
      <w:r w:rsidRPr="005A24FB">
        <w:rPr>
          <w:rFonts w:ascii="Calibri" w:hAnsi="Calibri" w:cs="Times New Roman"/>
          <w:sz w:val="22"/>
          <w:szCs w:val="22"/>
        </w:rPr>
        <w:t>Strong balance sheet with surplus capital</w:t>
      </w:r>
    </w:p>
    <w:p w:rsidR="002752D4" w:rsidRPr="00690CF8" w:rsidRDefault="002752D4" w:rsidP="00035579">
      <w:pPr>
        <w:pStyle w:val="ListParagraph"/>
        <w:rPr>
          <w:rFonts w:ascii="Calibri" w:hAnsi="Calibri" w:cs="Times New Roman"/>
          <w:sz w:val="22"/>
          <w:szCs w:val="22"/>
        </w:rPr>
      </w:pPr>
    </w:p>
    <w:p w:rsidR="00000893" w:rsidRPr="00035579" w:rsidRDefault="00000893" w:rsidP="00035579">
      <w:pPr>
        <w:spacing w:after="200"/>
        <w:outlineLvl w:val="0"/>
        <w:rPr>
          <w:rFonts w:ascii="Calibri" w:eastAsiaTheme="minorHAnsi" w:hAnsi="Calibri"/>
          <w:sz w:val="28"/>
          <w:szCs w:val="28"/>
        </w:rPr>
      </w:pPr>
      <w:r w:rsidRPr="009C7D96">
        <w:rPr>
          <w:rFonts w:ascii="Calibri" w:eastAsiaTheme="minorHAnsi" w:hAnsi="Calibri"/>
          <w:sz w:val="28"/>
          <w:szCs w:val="28"/>
        </w:rPr>
        <w:t>Review of Data Sources</w:t>
      </w:r>
      <w:r w:rsidR="00035579">
        <w:rPr>
          <w:rFonts w:ascii="Calibri" w:eastAsiaTheme="minorHAnsi" w:hAnsi="Calibri"/>
          <w:sz w:val="28"/>
          <w:szCs w:val="28"/>
        </w:rPr>
        <w:br/>
      </w:r>
      <w:r>
        <w:rPr>
          <w:rFonts w:ascii="Calibri" w:hAnsi="Calibri" w:cs="Times New Roman"/>
          <w:sz w:val="22"/>
          <w:szCs w:val="22"/>
        </w:rPr>
        <w:t xml:space="preserve">In the fall of 2011, iVantage Health Analytics inaugurated the </w:t>
      </w:r>
      <w:r w:rsidRPr="003C35CE">
        <w:rPr>
          <w:rFonts w:ascii="Calibri" w:hAnsi="Calibri" w:cs="Times New Roman"/>
          <w:sz w:val="22"/>
          <w:szCs w:val="22"/>
        </w:rPr>
        <w:t xml:space="preserve">Hospital Strength </w:t>
      </w:r>
      <w:r w:rsidR="005A24FB">
        <w:rPr>
          <w:rFonts w:ascii="Calibri" w:hAnsi="Calibri" w:cs="Times New Roman"/>
          <w:sz w:val="22"/>
          <w:szCs w:val="22"/>
        </w:rPr>
        <w:t>INDEX</w:t>
      </w:r>
      <w:r w:rsidRPr="003C35CE">
        <w:rPr>
          <w:rFonts w:ascii="Calibri" w:hAnsi="Calibri" w:cs="Times New Roman"/>
          <w:sz w:val="22"/>
          <w:szCs w:val="22"/>
        </w:rPr>
        <w:t>™</w:t>
      </w:r>
      <w:r>
        <w:rPr>
          <w:rFonts w:ascii="Calibri" w:hAnsi="Calibri" w:cs="Times New Roman"/>
          <w:sz w:val="22"/>
          <w:szCs w:val="22"/>
        </w:rPr>
        <w:t xml:space="preserve"> </w:t>
      </w:r>
      <w:r w:rsidRPr="003C35CE">
        <w:rPr>
          <w:rFonts w:ascii="Calibri" w:hAnsi="Calibri" w:cs="Times New Roman"/>
          <w:sz w:val="22"/>
          <w:szCs w:val="22"/>
        </w:rPr>
        <w:t xml:space="preserve">a comprehensive rating system </w:t>
      </w:r>
      <w:r>
        <w:rPr>
          <w:rFonts w:ascii="Calibri" w:hAnsi="Calibri" w:cs="Times New Roman"/>
          <w:sz w:val="22"/>
          <w:szCs w:val="22"/>
        </w:rPr>
        <w:t>that</w:t>
      </w:r>
      <w:r w:rsidRPr="003C35CE">
        <w:rPr>
          <w:rFonts w:ascii="Calibri" w:hAnsi="Calibri" w:cs="Times New Roman"/>
          <w:sz w:val="22"/>
          <w:szCs w:val="22"/>
        </w:rPr>
        <w:t xml:space="preserve"> compares U.S. general acute-care hospitals across a continuum of financial, value-based and market driven performance indicators. Ratings are based on publicly available data sources, including Medicare Cost Reports, Medicare claims data, Hospital Compare reporting and related sources.</w:t>
      </w:r>
      <w:r w:rsidR="00035579">
        <w:rPr>
          <w:rFonts w:ascii="Calibri" w:hAnsi="Calibri" w:cs="Times New Roman"/>
          <w:sz w:val="22"/>
          <w:szCs w:val="22"/>
        </w:rPr>
        <w:t xml:space="preserve"> In updated studies</w:t>
      </w:r>
      <w:r>
        <w:rPr>
          <w:rFonts w:ascii="Calibri" w:hAnsi="Calibri" w:cs="Times New Roman"/>
          <w:sz w:val="22"/>
          <w:szCs w:val="22"/>
        </w:rPr>
        <w:t xml:space="preserve">, iVantage modified the Hospital Strength </w:t>
      </w:r>
      <w:r w:rsidR="005A24FB">
        <w:rPr>
          <w:rFonts w:ascii="Calibri" w:hAnsi="Calibri" w:cs="Times New Roman"/>
          <w:sz w:val="22"/>
          <w:szCs w:val="22"/>
        </w:rPr>
        <w:t>INDEX</w:t>
      </w:r>
      <w:r w:rsidRPr="003C35CE">
        <w:rPr>
          <w:rFonts w:ascii="Calibri" w:hAnsi="Calibri" w:cs="Times New Roman"/>
          <w:sz w:val="22"/>
          <w:szCs w:val="22"/>
        </w:rPr>
        <w:t>™</w:t>
      </w:r>
      <w:r>
        <w:rPr>
          <w:rFonts w:ascii="Calibri" w:hAnsi="Calibri" w:cs="Times New Roman"/>
          <w:sz w:val="22"/>
          <w:szCs w:val="22"/>
        </w:rPr>
        <w:t xml:space="preserve"> to include the most recently available data sets and applied a set of refinements to the methodology based on market feedback and access to new data sets.</w:t>
      </w:r>
    </w:p>
    <w:p w:rsidR="00000893" w:rsidRDefault="005A24FB" w:rsidP="005A24FB">
      <w:pPr>
        <w:rPr>
          <w:rFonts w:ascii="Calibri" w:hAnsi="Calibri" w:cs="Times New Roman"/>
          <w:sz w:val="22"/>
          <w:szCs w:val="22"/>
        </w:rPr>
      </w:pPr>
      <w:r w:rsidRPr="005A24FB">
        <w:rPr>
          <w:rFonts w:ascii="Calibri" w:hAnsi="Calibri" w:cs="Times New Roman"/>
          <w:sz w:val="22"/>
          <w:szCs w:val="22"/>
        </w:rPr>
        <w:t>The Hospital Strength INDEX is designed to provide a comprehensive, objective</w:t>
      </w:r>
      <w:r>
        <w:rPr>
          <w:rFonts w:ascii="Calibri" w:hAnsi="Calibri" w:cs="Times New Roman"/>
          <w:sz w:val="22"/>
          <w:szCs w:val="22"/>
        </w:rPr>
        <w:t xml:space="preserve"> and straightforward method for </w:t>
      </w:r>
      <w:r w:rsidRPr="005A24FB">
        <w:rPr>
          <w:rFonts w:ascii="Calibri" w:hAnsi="Calibri" w:cs="Times New Roman"/>
          <w:sz w:val="22"/>
          <w:szCs w:val="22"/>
        </w:rPr>
        <w:t xml:space="preserve">comparing hospital performance. The scoring model aggregates hospital-specific data for 62 </w:t>
      </w:r>
      <w:r>
        <w:rPr>
          <w:rFonts w:ascii="Calibri" w:hAnsi="Calibri" w:cs="Times New Roman"/>
          <w:sz w:val="22"/>
          <w:szCs w:val="22"/>
        </w:rPr>
        <w:t xml:space="preserve">individual metrics </w:t>
      </w:r>
      <w:r w:rsidRPr="005A24FB">
        <w:rPr>
          <w:rFonts w:ascii="Calibri" w:hAnsi="Calibri" w:cs="Times New Roman"/>
          <w:sz w:val="22"/>
          <w:szCs w:val="22"/>
        </w:rPr>
        <w:t>and calculates percentile rankings based on performance in comparison to all hos</w:t>
      </w:r>
      <w:r>
        <w:rPr>
          <w:rFonts w:ascii="Calibri" w:hAnsi="Calibri" w:cs="Times New Roman"/>
          <w:sz w:val="22"/>
          <w:szCs w:val="22"/>
        </w:rPr>
        <w:t xml:space="preserve">pitals in the study group. Nine </w:t>
      </w:r>
      <w:r w:rsidRPr="005A24FB">
        <w:rPr>
          <w:rFonts w:ascii="Calibri" w:hAnsi="Calibri" w:cs="Times New Roman"/>
          <w:sz w:val="22"/>
          <w:szCs w:val="22"/>
        </w:rPr>
        <w:t>primary pillar scores are derived based on the composite scores of their r</w:t>
      </w:r>
      <w:r>
        <w:rPr>
          <w:rFonts w:ascii="Calibri" w:hAnsi="Calibri" w:cs="Times New Roman"/>
          <w:sz w:val="22"/>
          <w:szCs w:val="22"/>
        </w:rPr>
        <w:t xml:space="preserve">espective components. Aggregate </w:t>
      </w:r>
      <w:r w:rsidRPr="005A24FB">
        <w:rPr>
          <w:rFonts w:ascii="Calibri" w:hAnsi="Calibri" w:cs="Times New Roman"/>
          <w:sz w:val="22"/>
          <w:szCs w:val="22"/>
        </w:rPr>
        <w:t>scores across the nine pillars serve as the basis for a single overall rating. T</w:t>
      </w:r>
      <w:r>
        <w:rPr>
          <w:rFonts w:ascii="Calibri" w:hAnsi="Calibri" w:cs="Times New Roman"/>
          <w:sz w:val="22"/>
          <w:szCs w:val="22"/>
        </w:rPr>
        <w:t xml:space="preserve">he INDEX’s complete methodology </w:t>
      </w:r>
      <w:r w:rsidRPr="005A24FB">
        <w:rPr>
          <w:rFonts w:ascii="Calibri" w:hAnsi="Calibri" w:cs="Times New Roman"/>
          <w:sz w:val="22"/>
          <w:szCs w:val="22"/>
        </w:rPr>
        <w:t xml:space="preserve">is available for download at </w:t>
      </w:r>
      <w:hyperlink r:id="rId10" w:history="1">
        <w:r w:rsidRPr="00B573F2">
          <w:rPr>
            <w:rStyle w:val="Hyperlink"/>
            <w:rFonts w:ascii="Calibri" w:hAnsi="Calibri" w:cs="Times New Roman"/>
            <w:sz w:val="22"/>
            <w:szCs w:val="22"/>
          </w:rPr>
          <w:t>www.iVantageINDEX.com</w:t>
        </w:r>
      </w:hyperlink>
    </w:p>
    <w:p w:rsidR="005A24FB" w:rsidRDefault="005A24FB" w:rsidP="005A24FB">
      <w:pPr>
        <w:rPr>
          <w:rFonts w:ascii="Calibri" w:eastAsia="Calibri" w:hAnsi="Calibri" w:cs="Times New Roman"/>
          <w:sz w:val="22"/>
          <w:szCs w:val="22"/>
        </w:rPr>
      </w:pPr>
    </w:p>
    <w:p w:rsidR="005A24FB" w:rsidRPr="005A24FB" w:rsidRDefault="005A24FB" w:rsidP="005A24FB">
      <w:pPr>
        <w:rPr>
          <w:rFonts w:ascii="Calibri" w:eastAsia="Calibri" w:hAnsi="Calibri" w:cs="Times New Roman"/>
          <w:sz w:val="22"/>
          <w:szCs w:val="22"/>
        </w:rPr>
      </w:pPr>
      <w:r w:rsidRPr="005A24FB">
        <w:rPr>
          <w:rFonts w:ascii="Calibri" w:eastAsia="Calibri" w:hAnsi="Calibri" w:cs="Times New Roman"/>
          <w:sz w:val="22"/>
          <w:szCs w:val="22"/>
        </w:rPr>
        <w:t>The various ratings within INDEX are based on publicly available data sources including Medicare Cost Reports,</w:t>
      </w:r>
    </w:p>
    <w:p w:rsidR="005A24FB" w:rsidRPr="005A24FB" w:rsidRDefault="005A24FB" w:rsidP="005A24FB">
      <w:pPr>
        <w:rPr>
          <w:rFonts w:ascii="Calibri" w:eastAsia="Calibri" w:hAnsi="Calibri" w:cs="Times New Roman"/>
          <w:sz w:val="22"/>
          <w:szCs w:val="22"/>
        </w:rPr>
      </w:pPr>
      <w:r w:rsidRPr="005A24FB">
        <w:rPr>
          <w:rFonts w:ascii="Calibri" w:eastAsia="Calibri" w:hAnsi="Calibri" w:cs="Times New Roman"/>
          <w:sz w:val="22"/>
          <w:szCs w:val="22"/>
        </w:rPr>
        <w:t>Medicare claims data, Hospital Compare reporting, indicators from the Agency for Healthcare Research &amp;</w:t>
      </w:r>
    </w:p>
    <w:p w:rsidR="005A24FB" w:rsidRDefault="005A24FB" w:rsidP="005A24FB">
      <w:pPr>
        <w:rPr>
          <w:rFonts w:ascii="Calibri" w:eastAsia="Calibri" w:hAnsi="Calibri" w:cs="Times New Roman"/>
          <w:sz w:val="22"/>
          <w:szCs w:val="22"/>
        </w:rPr>
      </w:pPr>
      <w:r w:rsidRPr="005A24FB">
        <w:rPr>
          <w:rFonts w:ascii="Calibri" w:eastAsia="Calibri" w:hAnsi="Calibri" w:cs="Times New Roman"/>
          <w:sz w:val="22"/>
          <w:szCs w:val="22"/>
        </w:rPr>
        <w:t>Quality, Federal SEC EDGAR filings, as well as other proprietary data and method</w:t>
      </w:r>
      <w:r>
        <w:rPr>
          <w:rFonts w:ascii="Calibri" w:eastAsia="Calibri" w:hAnsi="Calibri" w:cs="Times New Roman"/>
          <w:sz w:val="22"/>
          <w:szCs w:val="22"/>
        </w:rPr>
        <w:t xml:space="preserve">ologies. In this updated study, </w:t>
      </w:r>
      <w:r w:rsidRPr="005A24FB">
        <w:rPr>
          <w:rFonts w:ascii="Calibri" w:eastAsia="Calibri" w:hAnsi="Calibri" w:cs="Times New Roman"/>
          <w:sz w:val="22"/>
          <w:szCs w:val="22"/>
        </w:rPr>
        <w:t>iVantage modified the Hospital Strength INDEX to include the most recently av</w:t>
      </w:r>
      <w:r>
        <w:rPr>
          <w:rFonts w:ascii="Calibri" w:eastAsia="Calibri" w:hAnsi="Calibri" w:cs="Times New Roman"/>
          <w:sz w:val="22"/>
          <w:szCs w:val="22"/>
        </w:rPr>
        <w:t xml:space="preserve">ailable data sets and applied a </w:t>
      </w:r>
      <w:r w:rsidRPr="005A24FB">
        <w:rPr>
          <w:rFonts w:ascii="Calibri" w:eastAsia="Calibri" w:hAnsi="Calibri" w:cs="Times New Roman"/>
          <w:sz w:val="22"/>
          <w:szCs w:val="22"/>
        </w:rPr>
        <w:t>set of refinements and market share measures to the methodology based o</w:t>
      </w:r>
      <w:r>
        <w:rPr>
          <w:rFonts w:ascii="Calibri" w:eastAsia="Calibri" w:hAnsi="Calibri" w:cs="Times New Roman"/>
          <w:sz w:val="22"/>
          <w:szCs w:val="22"/>
        </w:rPr>
        <w:t xml:space="preserve">n market feedback and access to </w:t>
      </w:r>
      <w:r w:rsidRPr="005A24FB">
        <w:rPr>
          <w:rFonts w:ascii="Calibri" w:eastAsia="Calibri" w:hAnsi="Calibri" w:cs="Times New Roman"/>
          <w:sz w:val="22"/>
          <w:szCs w:val="22"/>
        </w:rPr>
        <w:t xml:space="preserve">new data sets required under the new healthcare. </w:t>
      </w:r>
    </w:p>
    <w:p w:rsidR="005C4073" w:rsidRDefault="005A24FB" w:rsidP="005A24FB">
      <w:r w:rsidRPr="005A24FB">
        <w:rPr>
          <w:rFonts w:ascii="Calibri" w:eastAsia="Calibri" w:hAnsi="Calibri" w:cs="Times New Roman"/>
          <w:sz w:val="22"/>
          <w:szCs w:val="22"/>
        </w:rPr>
        <w:t xml:space="preserve">.  </w:t>
      </w:r>
    </w:p>
    <w:sectPr w:rsidR="005C4073" w:rsidSect="002F5BF5">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B5" w:rsidRDefault="003426B5" w:rsidP="00000893">
      <w:r>
        <w:separator/>
      </w:r>
    </w:p>
  </w:endnote>
  <w:endnote w:type="continuationSeparator" w:id="0">
    <w:p w:rsidR="003426B5" w:rsidRDefault="003426B5" w:rsidP="0000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B5" w:rsidRDefault="003426B5" w:rsidP="00000893">
      <w:r>
        <w:separator/>
      </w:r>
    </w:p>
  </w:footnote>
  <w:footnote w:type="continuationSeparator" w:id="0">
    <w:p w:rsidR="003426B5" w:rsidRDefault="003426B5" w:rsidP="0000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E722D"/>
    <w:multiLevelType w:val="hybridMultilevel"/>
    <w:tmpl w:val="CF207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340AD9"/>
    <w:multiLevelType w:val="hybridMultilevel"/>
    <w:tmpl w:val="98F2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2A1311"/>
    <w:multiLevelType w:val="hybridMultilevel"/>
    <w:tmpl w:val="5BEE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4C"/>
    <w:rsid w:val="00000893"/>
    <w:rsid w:val="00035579"/>
    <w:rsid w:val="000A1B37"/>
    <w:rsid w:val="00176541"/>
    <w:rsid w:val="00194E56"/>
    <w:rsid w:val="002752D4"/>
    <w:rsid w:val="002F5BF5"/>
    <w:rsid w:val="00325111"/>
    <w:rsid w:val="003426B5"/>
    <w:rsid w:val="003F4C10"/>
    <w:rsid w:val="0040320C"/>
    <w:rsid w:val="004130CC"/>
    <w:rsid w:val="004705D9"/>
    <w:rsid w:val="004A09F3"/>
    <w:rsid w:val="004B631B"/>
    <w:rsid w:val="005A24FB"/>
    <w:rsid w:val="005C4073"/>
    <w:rsid w:val="00691F92"/>
    <w:rsid w:val="006A44A9"/>
    <w:rsid w:val="006B21CF"/>
    <w:rsid w:val="006E33F0"/>
    <w:rsid w:val="00704043"/>
    <w:rsid w:val="007F10F9"/>
    <w:rsid w:val="00814F76"/>
    <w:rsid w:val="00950A6F"/>
    <w:rsid w:val="009C0182"/>
    <w:rsid w:val="009C7D96"/>
    <w:rsid w:val="009D1005"/>
    <w:rsid w:val="00A03C84"/>
    <w:rsid w:val="00A05DE1"/>
    <w:rsid w:val="00A74D41"/>
    <w:rsid w:val="00A81B79"/>
    <w:rsid w:val="00AA7C14"/>
    <w:rsid w:val="00B26162"/>
    <w:rsid w:val="00BD574A"/>
    <w:rsid w:val="00CC68FA"/>
    <w:rsid w:val="00CE70CE"/>
    <w:rsid w:val="00D1424C"/>
    <w:rsid w:val="00D430FA"/>
    <w:rsid w:val="00D62EE5"/>
    <w:rsid w:val="00EB61ED"/>
    <w:rsid w:val="00ED0720"/>
    <w:rsid w:val="00F0662C"/>
    <w:rsid w:val="00F55141"/>
    <w:rsid w:val="00FA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CEB8A-CD77-4312-8D68-76DA05B1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4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893"/>
    <w:pPr>
      <w:ind w:left="720"/>
      <w:contextualSpacing/>
    </w:pPr>
  </w:style>
  <w:style w:type="character" w:styleId="Hyperlink">
    <w:name w:val="Hyperlink"/>
    <w:basedOn w:val="DefaultParagraphFont"/>
    <w:uiPriority w:val="99"/>
    <w:unhideWhenUsed/>
    <w:rsid w:val="00000893"/>
    <w:rPr>
      <w:color w:val="0000FF" w:themeColor="hyperlink"/>
      <w:u w:val="single"/>
    </w:rPr>
  </w:style>
  <w:style w:type="paragraph" w:styleId="FootnoteText">
    <w:name w:val="footnote text"/>
    <w:basedOn w:val="Normal"/>
    <w:link w:val="FootnoteTextChar"/>
    <w:uiPriority w:val="99"/>
    <w:unhideWhenUsed/>
    <w:rsid w:val="00000893"/>
  </w:style>
  <w:style w:type="character" w:customStyle="1" w:styleId="FootnoteTextChar">
    <w:name w:val="Footnote Text Char"/>
    <w:basedOn w:val="DefaultParagraphFont"/>
    <w:link w:val="FootnoteText"/>
    <w:uiPriority w:val="99"/>
    <w:rsid w:val="00000893"/>
    <w:rPr>
      <w:rFonts w:eastAsiaTheme="minorEastAsia"/>
      <w:sz w:val="24"/>
      <w:szCs w:val="24"/>
    </w:rPr>
  </w:style>
  <w:style w:type="character" w:styleId="FootnoteReference">
    <w:name w:val="footnote reference"/>
    <w:basedOn w:val="DefaultParagraphFont"/>
    <w:uiPriority w:val="99"/>
    <w:unhideWhenUsed/>
    <w:rsid w:val="00000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opchik@ivantagehealth.com" TargetMode="External"/><Relationship Id="rId3" Type="http://schemas.openxmlformats.org/officeDocument/2006/relationships/settings" Target="settings.xml"/><Relationship Id="rId7" Type="http://schemas.openxmlformats.org/officeDocument/2006/relationships/hyperlink" Target="mailto:ddouglas@NRHArur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VantageINDEX.com" TargetMode="External"/><Relationship Id="rId4" Type="http://schemas.openxmlformats.org/officeDocument/2006/relationships/webSettings" Target="webSettings.xml"/><Relationship Id="rId9" Type="http://schemas.openxmlformats.org/officeDocument/2006/relationships/hyperlink" Target="http://www.ivantagein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Douglas</dc:creator>
  <cp:lastModifiedBy>Jennifer Demuth</cp:lastModifiedBy>
  <cp:revision>2</cp:revision>
  <dcterms:created xsi:type="dcterms:W3CDTF">2015-06-17T19:18:00Z</dcterms:created>
  <dcterms:modified xsi:type="dcterms:W3CDTF">2015-06-17T19:18:00Z</dcterms:modified>
</cp:coreProperties>
</file>